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033" w:rsidRDefault="00EA4033" w:rsidP="00EA4033">
      <w:pPr>
        <w:jc w:val="center"/>
        <w:rPr>
          <w:rFonts w:ascii="Arial" w:hAnsi="Arial" w:cs="Arial"/>
          <w:b/>
          <w:bCs/>
          <w:color w:val="000000"/>
          <w:sz w:val="20"/>
          <w:szCs w:val="20"/>
        </w:rPr>
      </w:pPr>
      <w:r w:rsidRPr="00EA4033">
        <w:rPr>
          <w:rFonts w:ascii="Arial" w:hAnsi="Arial" w:cs="Arial"/>
          <w:b/>
          <w:bCs/>
          <w:color w:val="000000"/>
          <w:sz w:val="20"/>
          <w:szCs w:val="20"/>
        </w:rPr>
        <w:t>Certified Accounting &amp; Audit Professional</w:t>
      </w:r>
    </w:p>
    <w:p w:rsidR="00EA4033" w:rsidRDefault="00EA4033" w:rsidP="00EA4033">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846"/>
        <w:gridCol w:w="8170"/>
      </w:tblGrid>
      <w:tr w:rsidR="00EA4033" w:rsidTr="00EA4033">
        <w:tc>
          <w:tcPr>
            <w:tcW w:w="846" w:type="dxa"/>
          </w:tcPr>
          <w:p w:rsidR="00EA4033" w:rsidRPr="00EA4033" w:rsidRDefault="00EA4033" w:rsidP="00EA4033">
            <w:pPr>
              <w:jc w:val="center"/>
              <w:rPr>
                <w:rFonts w:ascii="Arial" w:hAnsi="Arial" w:cs="Arial"/>
                <w:b/>
                <w:bCs/>
                <w:color w:val="000000"/>
                <w:sz w:val="18"/>
                <w:szCs w:val="18"/>
              </w:rPr>
            </w:pPr>
            <w:proofErr w:type="spellStart"/>
            <w:r w:rsidRPr="00EA4033">
              <w:rPr>
                <w:rFonts w:ascii="Arial" w:hAnsi="Arial" w:cs="Arial"/>
                <w:b/>
                <w:bCs/>
                <w:color w:val="000000"/>
                <w:sz w:val="18"/>
                <w:szCs w:val="18"/>
              </w:rPr>
              <w:t>Sr.No</w:t>
            </w:r>
            <w:proofErr w:type="spellEnd"/>
            <w:r w:rsidRPr="00EA4033">
              <w:rPr>
                <w:rFonts w:ascii="Arial" w:hAnsi="Arial" w:cs="Arial"/>
                <w:b/>
                <w:bCs/>
                <w:color w:val="000000"/>
                <w:sz w:val="18"/>
                <w:szCs w:val="18"/>
              </w:rPr>
              <w:t>.</w:t>
            </w:r>
          </w:p>
        </w:tc>
        <w:tc>
          <w:tcPr>
            <w:tcW w:w="8170" w:type="dxa"/>
          </w:tcPr>
          <w:p w:rsidR="00EA4033" w:rsidRPr="00EA4033" w:rsidRDefault="00EA4033" w:rsidP="00EA4033">
            <w:pPr>
              <w:jc w:val="center"/>
              <w:rPr>
                <w:rFonts w:ascii="Arial" w:hAnsi="Arial" w:cs="Arial"/>
                <w:b/>
                <w:bCs/>
                <w:color w:val="000000"/>
                <w:sz w:val="18"/>
                <w:szCs w:val="18"/>
              </w:rPr>
            </w:pPr>
            <w:r w:rsidRPr="00EA4033">
              <w:rPr>
                <w:rFonts w:ascii="Arial" w:hAnsi="Arial" w:cs="Arial"/>
                <w:b/>
                <w:bCs/>
                <w:color w:val="000000"/>
                <w:sz w:val="18"/>
                <w:szCs w:val="18"/>
              </w:rPr>
              <w:t>RBI Notifications</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1</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EA4033" w:rsidRDefault="00EA4033" w:rsidP="00EA4033">
            <w:pPr>
              <w:spacing w:line="240" w:lineRule="auto"/>
              <w:rPr>
                <w:rFonts w:ascii="Calibri" w:hAnsi="Calibri" w:cs="Calibri"/>
                <w:sz w:val="20"/>
                <w:szCs w:val="20"/>
              </w:rPr>
            </w:pPr>
            <w:r>
              <w:rPr>
                <w:rFonts w:ascii="Calibri" w:hAnsi="Calibri" w:cs="Calibri"/>
                <w:sz w:val="20"/>
                <w:szCs w:val="20"/>
              </w:rPr>
              <w:t>Section 24 of the Banking Regulation Act, 1949 – Maintenance of Statutory Liquidity Ratio (SLR) – Marginal Standing Facility (MSF) - return to the normal dispensation</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2</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General permission for infusion of capital in overseas branches and subsidiaries and retention/ repatriation/ transfer of profits in these centres by banks incorporated in India</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3</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Prudential norms on Income Recognition, Asset Classification and Provisioning pertaining to Advances – Clarifications</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4</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Master Circular- Income Recognition, Asset Classification, Provisioning and Other Related Matters – UCBs</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5</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Master Direction – Prudential Norms on Capital Adequacy for Local Area Banks (Directions), 2021</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6</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Value Free Transfer (VFT) of Government Securities – Guidelines</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7</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Basel III Capital Regulations - Perpetual Debt Instruments (PDI) in Additional Tier 1 Capital – Eligible Limit for Instruments Denominated in Foreign Currency/Rupee Denominated Bonds Overseas</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8</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Master Circular - Prudential norms on Income Recognition, Asset Classification and Provisioning pertaining to Advances</w:t>
            </w:r>
          </w:p>
        </w:tc>
        <w:bookmarkStart w:id="0" w:name="_GoBack"/>
        <w:bookmarkEnd w:id="0"/>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9</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Master Direction – Reserve Bank of India (Transfer of Loan Exposures) Directions, 2021</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10</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Master Direction – Reserve Bank of India (Securitisation of Standard Assets) Directions, 2021</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11</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Master Direction on Financial Statements - Presentation and Disclosures</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12</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Guidelines on Compensation of Whole Time Directors/ Chief Executive Officers/ Material Risk Takers and Control Function staff - Clarification</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13</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Master Direction - Classification, Valuation and Operation of Investment Portfolio of Commercial Banks (Directions), 2021</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14</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Notification as ‘Financial Institution’ under Section 2(1)(m)(iv) of Securitisation and Reconstruction of Financial Assets and Enforcement of Security Interest Act, 2002 (SARFAESI Act)</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15</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Resolution Framework for COVID-19-related Stress – Financial Parameters – Revised timelines for compliance</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16</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Loans and Advances – Regulatory Restrictions</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17</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Master Direction - Reserve Bank of India [Cash Reserve Ratio (CRR) and Statutory Liquidity Ratio (SLR)] Directions – 2021</w:t>
            </w:r>
          </w:p>
        </w:tc>
      </w:tr>
      <w:tr w:rsidR="00EA4033" w:rsidTr="00063134">
        <w:tc>
          <w:tcPr>
            <w:tcW w:w="846" w:type="dxa"/>
          </w:tcPr>
          <w:p w:rsidR="00EA4033" w:rsidRPr="00EA4033" w:rsidRDefault="00EA4033" w:rsidP="00EA4033">
            <w:pPr>
              <w:jc w:val="center"/>
              <w:rPr>
                <w:rFonts w:cstheme="minorHAnsi"/>
                <w:bCs/>
                <w:color w:val="000000"/>
                <w:sz w:val="20"/>
                <w:szCs w:val="20"/>
              </w:rPr>
            </w:pPr>
            <w:r w:rsidRPr="00EA4033">
              <w:rPr>
                <w:rFonts w:cstheme="minorHAnsi"/>
                <w:bCs/>
                <w:color w:val="000000"/>
                <w:sz w:val="20"/>
                <w:szCs w:val="20"/>
              </w:rPr>
              <w:t>18</w:t>
            </w:r>
          </w:p>
        </w:tc>
        <w:tc>
          <w:tcPr>
            <w:tcW w:w="8170" w:type="dxa"/>
            <w:tcBorders>
              <w:top w:val="nil"/>
              <w:left w:val="single" w:sz="4" w:space="0" w:color="auto"/>
              <w:bottom w:val="single" w:sz="4" w:space="0" w:color="auto"/>
              <w:right w:val="single" w:sz="4" w:space="0" w:color="auto"/>
            </w:tcBorders>
            <w:shd w:val="clear" w:color="auto" w:fill="auto"/>
            <w:vAlign w:val="center"/>
          </w:tcPr>
          <w:p w:rsidR="00EA4033" w:rsidRDefault="00EA4033" w:rsidP="00EA4033">
            <w:pPr>
              <w:rPr>
                <w:rFonts w:ascii="Calibri" w:hAnsi="Calibri" w:cs="Calibri"/>
                <w:sz w:val="20"/>
                <w:szCs w:val="20"/>
              </w:rPr>
            </w:pPr>
            <w:r>
              <w:rPr>
                <w:rFonts w:ascii="Calibri" w:hAnsi="Calibri" w:cs="Calibri"/>
                <w:sz w:val="20"/>
                <w:szCs w:val="20"/>
              </w:rPr>
              <w:t>Review of Instructions on Interest on overdue domestic deposits</w:t>
            </w:r>
          </w:p>
        </w:tc>
      </w:tr>
    </w:tbl>
    <w:p w:rsidR="00EA4033" w:rsidRDefault="00EA4033" w:rsidP="00EA4033">
      <w:pPr>
        <w:jc w:val="center"/>
        <w:rPr>
          <w:rFonts w:ascii="Arial" w:hAnsi="Arial" w:cs="Arial"/>
          <w:b/>
          <w:bCs/>
          <w:color w:val="000000"/>
          <w:sz w:val="20"/>
          <w:szCs w:val="20"/>
        </w:rPr>
      </w:pPr>
    </w:p>
    <w:p w:rsidR="00EA4033" w:rsidRDefault="00EA4033" w:rsidP="00865669">
      <w:pPr>
        <w:rPr>
          <w:rFonts w:ascii="Arial" w:hAnsi="Arial" w:cs="Arial"/>
          <w:b/>
          <w:bCs/>
          <w:color w:val="000000"/>
          <w:sz w:val="20"/>
          <w:szCs w:val="20"/>
        </w:rPr>
      </w:pPr>
    </w:p>
    <w:p w:rsidR="00865669" w:rsidRDefault="00865669" w:rsidP="00865669">
      <w:r>
        <w:rPr>
          <w:rFonts w:ascii="Arial" w:hAnsi="Arial" w:cs="Arial"/>
          <w:b/>
          <w:bCs/>
          <w:color w:val="000000"/>
          <w:sz w:val="20"/>
          <w:szCs w:val="20"/>
        </w:rPr>
        <w:t>Section 24 of the Banking Regulation Act, 1949 – Maintenance of Statutory Liquidity Ratio (SLR) – Marginal Standing Facility (MSF) - return to the normal dispensation</w:t>
      </w:r>
    </w:p>
    <w:p w:rsidR="00865669" w:rsidRDefault="00865669" w:rsidP="00865669">
      <w:r>
        <w:t>RBI/2021-22/138</w:t>
      </w:r>
      <w:r>
        <w:br/>
        <w:t>DOR.RET.REC.73/12.01.001/2021-22</w:t>
      </w:r>
    </w:p>
    <w:p w:rsidR="00865669" w:rsidRDefault="00865669" w:rsidP="00865669">
      <w:r>
        <w:t>December 10, 2021</w:t>
      </w:r>
    </w:p>
    <w:p w:rsidR="00865669" w:rsidRDefault="00865669" w:rsidP="00865669">
      <w:r>
        <w:t>All Scheduled Banks</w:t>
      </w:r>
    </w:p>
    <w:p w:rsidR="00865669" w:rsidRDefault="00865669" w:rsidP="00865669">
      <w:r>
        <w:t>Madam/Sir,</w:t>
      </w:r>
    </w:p>
    <w:p w:rsidR="00865669" w:rsidRDefault="00865669" w:rsidP="00865669">
      <w:pPr>
        <w:rPr>
          <w:b/>
          <w:bCs/>
        </w:rPr>
      </w:pPr>
      <w:r>
        <w:rPr>
          <w:b/>
          <w:bCs/>
        </w:rPr>
        <w:t>Section 24 of the Banking Regulation Act, 1949 – Maintenance of Statutory Liquidity Ratio (SLR) – Marginal Standing Facility (MSF) - return to the normal dispensation</w:t>
      </w:r>
    </w:p>
    <w:p w:rsidR="00865669" w:rsidRDefault="00865669" w:rsidP="00865669">
      <w:r>
        <w:t>Please refer to </w:t>
      </w:r>
      <w:hyperlink r:id="rId5" w:tgtFrame="_blank" w:history="1">
        <w:r>
          <w:rPr>
            <w:rStyle w:val="Hyperlink"/>
          </w:rPr>
          <w:t>circular DOR.RET.REC.36/12.01.001/2021-22 dated August 09, 2021</w:t>
        </w:r>
      </w:hyperlink>
      <w:r>
        <w:t> and paragraph 15(</w:t>
      </w:r>
      <w:proofErr w:type="spellStart"/>
      <w:r>
        <w:t>i</w:t>
      </w:r>
      <w:proofErr w:type="spellEnd"/>
      <w:r>
        <w:t>) of the </w:t>
      </w:r>
      <w:hyperlink r:id="rId6" w:tgtFrame="_blank" w:history="1">
        <w:r>
          <w:rPr>
            <w:rStyle w:val="Hyperlink"/>
          </w:rPr>
          <w:t>Master Direction DOR.No.RET.REC.32/12.01.001/2021-22 dated July 20, 2021</w:t>
        </w:r>
      </w:hyperlink>
      <w:r>
        <w:t xml:space="preserve">, on </w:t>
      </w:r>
      <w:r>
        <w:lastRenderedPageBreak/>
        <w:t>Marginal Standing Facility (MSF), wherein the banks were allowed to avail of funds under the MSF by dipping into the Statutory Liquidity Ratio (SLR) up to three per cent of their net demand and time liabilities (NDTL) outstanding at the end of the second preceding fortnight. This facility, which was initially available up to June 30, 2020, was later extended up to December 31, 2021 vide </w:t>
      </w:r>
      <w:hyperlink r:id="rId7" w:tgtFrame="_blank" w:history="1">
        <w:r>
          <w:rPr>
            <w:rStyle w:val="Hyperlink"/>
          </w:rPr>
          <w:t>circular DOR.RET.REC.36/12.01.001/2021-22 dated August 09, 2021</w:t>
        </w:r>
      </w:hyperlink>
      <w:r>
        <w:t>.</w:t>
      </w:r>
    </w:p>
    <w:p w:rsidR="00865669" w:rsidRDefault="00865669" w:rsidP="00865669">
      <w:r>
        <w:t>2. As announced in the </w:t>
      </w:r>
      <w:hyperlink r:id="rId8" w:tgtFrame="_blank" w:history="1">
        <w:r>
          <w:rPr>
            <w:rStyle w:val="Hyperlink"/>
          </w:rPr>
          <w:t>Governor’s Statement dated December 08, 2021</w:t>
        </w:r>
      </w:hyperlink>
      <w:r>
        <w:t>, it is proposed to return to the normal dispensation. Accordingly, banks will be able to dip into the Statutory Liquidity Ratio (SLR) up to two percent of NDTL instead of three percent for overnight borrowing under the MSF with effect from January 1, 2022.</w:t>
      </w:r>
    </w:p>
    <w:p w:rsidR="00865669" w:rsidRDefault="00865669" w:rsidP="00865669">
      <w:r>
        <w:t>Yours faithfully,</w:t>
      </w:r>
    </w:p>
    <w:p w:rsidR="00865669" w:rsidRDefault="00865669" w:rsidP="00865669">
      <w:r>
        <w:t>(Thomas Mathew)</w:t>
      </w:r>
      <w:r>
        <w:br/>
        <w:t>Chief General Manager</w:t>
      </w:r>
    </w:p>
    <w:p w:rsidR="00865669" w:rsidRDefault="00865669" w:rsidP="00865669">
      <w:r>
        <w:t xml:space="preserve">Reference link: </w:t>
      </w:r>
      <w:hyperlink r:id="rId9" w:history="1">
        <w:r>
          <w:rPr>
            <w:rStyle w:val="Hyperlink"/>
          </w:rPr>
          <w:t>https://www.rbi.org.in/Scripts/NotificationUser.aspx?Id=12207&amp;Mode=0</w:t>
        </w:r>
      </w:hyperlink>
    </w:p>
    <w:p w:rsidR="00865669" w:rsidRDefault="00865669"/>
    <w:p w:rsidR="00865669" w:rsidRDefault="00865669">
      <w:pPr>
        <w:spacing w:line="259" w:lineRule="auto"/>
      </w:pPr>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General permission for infusion of capital in overseas branches and subsidiaries and retention/ repatriation/ transfer of profits in these centres by banks incorporated in India</w:t>
      </w:r>
    </w:p>
    <w:p w:rsidR="00865669" w:rsidRDefault="00865669" w:rsidP="00865669">
      <w:r>
        <w:t>RBI/2021-22/136</w:t>
      </w:r>
      <w:r>
        <w:br/>
        <w:t>DOR.CAP.REC.No.72/21.06.201/2021-22</w:t>
      </w:r>
    </w:p>
    <w:p w:rsidR="00865669" w:rsidRDefault="00865669" w:rsidP="00865669">
      <w:r>
        <w:t>December 08, 2021</w:t>
      </w:r>
    </w:p>
    <w:p w:rsidR="00865669" w:rsidRDefault="00865669" w:rsidP="00865669">
      <w:r>
        <w:t>Dear Sir/ Madam,</w:t>
      </w:r>
    </w:p>
    <w:p w:rsidR="00865669" w:rsidRDefault="00865669" w:rsidP="00865669">
      <w:pPr>
        <w:rPr>
          <w:b/>
          <w:bCs/>
        </w:rPr>
      </w:pPr>
      <w:r>
        <w:rPr>
          <w:b/>
          <w:bCs/>
        </w:rPr>
        <w:t>General permission for infusion of capital in overseas branches and subsidiaries and retention/ repatriation/ transfer of profits in these centres by banks incorporated in India</w:t>
      </w:r>
    </w:p>
    <w:p w:rsidR="00865669" w:rsidRDefault="00865669" w:rsidP="00865669">
      <w:r>
        <w:t>Please refer to para 1 of the ‘</w:t>
      </w:r>
      <w:hyperlink r:id="rId10" w:tgtFrame="_blank" w:history="1">
        <w:r>
          <w:rPr>
            <w:rStyle w:val="Hyperlink"/>
          </w:rPr>
          <w:t>Statement on Developmental and Regulatory Policies’ dated December 8, 2021</w:t>
        </w:r>
      </w:hyperlink>
      <w:r>
        <w:t> on the above subject.</w:t>
      </w:r>
    </w:p>
    <w:p w:rsidR="00865669" w:rsidRDefault="00865669" w:rsidP="00865669">
      <w:r>
        <w:t>2. As per extant practice, banks incorporated in India seek prior RBI approval for</w:t>
      </w:r>
    </w:p>
    <w:p w:rsidR="00865669" w:rsidRDefault="00865669" w:rsidP="00865669">
      <w:pPr>
        <w:numPr>
          <w:ilvl w:val="0"/>
          <w:numId w:val="1"/>
        </w:numPr>
      </w:pPr>
      <w:r>
        <w:t>infusion of capital in their overseas branches and subsidiaries.</w:t>
      </w:r>
    </w:p>
    <w:p w:rsidR="00865669" w:rsidRDefault="00865669" w:rsidP="00865669">
      <w:pPr>
        <w:numPr>
          <w:ilvl w:val="0"/>
          <w:numId w:val="1"/>
        </w:numPr>
      </w:pPr>
      <w:r>
        <w:t>retention of profits in, and transfer or repatriation of profits from these overseas centres.</w:t>
      </w:r>
    </w:p>
    <w:p w:rsidR="00865669" w:rsidRDefault="00865669" w:rsidP="00865669">
      <w:r>
        <w:t>3. In order to provide greater operational flexibility, it has been decided that prior RBI approval for above capital infusion/ transfers (including retention/ repatriation of profits), shall not be required by banks which meet the regulatory capital requirements (including capital buffers</w:t>
      </w:r>
      <w:hyperlink r:id="rId11" w:anchor="FA1" w:history="1">
        <w:r>
          <w:rPr>
            <w:rStyle w:val="Hyperlink"/>
            <w:vertAlign w:val="superscript"/>
          </w:rPr>
          <w:t>1</w:t>
        </w:r>
      </w:hyperlink>
      <w:r>
        <w:t>). Instead, the banks shall seek approval of their boards for the same.</w:t>
      </w:r>
    </w:p>
    <w:p w:rsidR="00865669" w:rsidRDefault="00865669" w:rsidP="00865669">
      <w:r>
        <w:t>4. While considering such proposals, banks shall analyse all relevant aspects including inter alia the business plans, home and host country regulatory requirements and performance parameters of their overseas centres. Banks shall also ensure compliance with all applicable home and host country laws and regulations.</w:t>
      </w:r>
    </w:p>
    <w:p w:rsidR="00865669" w:rsidRDefault="00865669" w:rsidP="00865669">
      <w:r>
        <w:t>5. Banks which do not meet the minimum regulatory capital requirements as laid down in para 3 above, shall be required to seek prior approval of RBI as hitherto.</w:t>
      </w:r>
    </w:p>
    <w:p w:rsidR="00865669" w:rsidRDefault="00865669" w:rsidP="00865669">
      <w:pPr>
        <w:rPr>
          <w:b/>
          <w:bCs/>
        </w:rPr>
      </w:pPr>
      <w:r>
        <w:rPr>
          <w:b/>
          <w:bCs/>
        </w:rPr>
        <w:t>Reporting</w:t>
      </w:r>
    </w:p>
    <w:p w:rsidR="00865669" w:rsidRDefault="00865669" w:rsidP="00865669">
      <w:r>
        <w:t>6. Banks shall report all such instances of infusion of capital and/ or retention</w:t>
      </w:r>
      <w:hyperlink r:id="rId12" w:anchor="FA2" w:history="1">
        <w:r>
          <w:rPr>
            <w:rStyle w:val="Hyperlink"/>
            <w:vertAlign w:val="superscript"/>
          </w:rPr>
          <w:t>2</w:t>
        </w:r>
      </w:hyperlink>
      <w:r>
        <w:t>/transfer/ repatriation of profits in overseas branches and subsidiaries within 30 days of such action, to the Chief General Manager-in-Charge, Department of Regulation, Central Office, Mumbai with a copy to Chief General Manager-in-Charge, Department of Supervision, Central Office, Mumbai.</w:t>
      </w:r>
    </w:p>
    <w:p w:rsidR="00865669" w:rsidRDefault="00865669" w:rsidP="00865669">
      <w:pPr>
        <w:rPr>
          <w:b/>
          <w:bCs/>
        </w:rPr>
      </w:pPr>
      <w:r>
        <w:rPr>
          <w:b/>
          <w:bCs/>
        </w:rPr>
        <w:t>Applicability</w:t>
      </w:r>
    </w:p>
    <w:p w:rsidR="00865669" w:rsidRDefault="00865669" w:rsidP="00865669">
      <w:r>
        <w:t>7. This circular is applicable to all Scheduled Commercial Banks other than foreign banks, Small Finance Banks, Payment Banks and Regional Rural Banks.</w:t>
      </w:r>
    </w:p>
    <w:p w:rsidR="00865669" w:rsidRDefault="00865669" w:rsidP="00865669">
      <w:r>
        <w:t>These instructions come into effect from the date of the circular.</w:t>
      </w:r>
    </w:p>
    <w:p w:rsidR="00865669" w:rsidRDefault="00865669" w:rsidP="00865669">
      <w:r>
        <w:t>Yours faithfully,</w:t>
      </w:r>
    </w:p>
    <w:p w:rsidR="00865669" w:rsidRDefault="00865669" w:rsidP="00865669">
      <w:r>
        <w:t>(</w:t>
      </w:r>
      <w:proofErr w:type="spellStart"/>
      <w:r>
        <w:t>Usha</w:t>
      </w:r>
      <w:proofErr w:type="spellEnd"/>
      <w:r>
        <w:t xml:space="preserve"> </w:t>
      </w:r>
      <w:proofErr w:type="spellStart"/>
      <w:r>
        <w:t>Janakiraman</w:t>
      </w:r>
      <w:proofErr w:type="spellEnd"/>
      <w:r>
        <w:t>)</w:t>
      </w:r>
      <w:r>
        <w:br/>
        <w:t>Chief General Manager</w:t>
      </w:r>
    </w:p>
    <w:p w:rsidR="00865669" w:rsidRDefault="00865669" w:rsidP="00865669">
      <w:r>
        <w:t xml:space="preserve">Reference link: </w:t>
      </w:r>
      <w:hyperlink r:id="rId13" w:history="1">
        <w:r>
          <w:rPr>
            <w:rStyle w:val="Hyperlink"/>
          </w:rPr>
          <w:t>https://www.rbi.org.in/Scripts/NotificationUser.aspx?Id=12205&amp;Mode=0</w:t>
        </w:r>
      </w:hyperlink>
    </w:p>
    <w:p w:rsidR="00865669" w:rsidRDefault="00865669"/>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Prudential norms on Income Recognition, Asset Classification and Provisioning pertaining to Advances – Clarifications</w:t>
      </w:r>
    </w:p>
    <w:p w:rsidR="00865669" w:rsidRDefault="00865669" w:rsidP="00865669">
      <w:r>
        <w:t>RBI/2021-2022/125</w:t>
      </w:r>
      <w:r>
        <w:br/>
        <w:t>DOR.STR.REC.68/21.04.048/2021-22</w:t>
      </w:r>
    </w:p>
    <w:p w:rsidR="00865669" w:rsidRDefault="00865669" w:rsidP="00865669">
      <w:r>
        <w:t>November 12, 2021</w:t>
      </w:r>
    </w:p>
    <w:p w:rsidR="00865669" w:rsidRDefault="00865669" w:rsidP="00865669">
      <w:r>
        <w:t>All Commercial Banks (including Small Finance Banks, Local Area Banks and Regional Rural Banks) excluding Payments Banks</w:t>
      </w:r>
      <w:r>
        <w:br/>
        <w:t>All Primary (Urban) Co-operative Banks/State Co-operative Banks/District Central Co-operative Banks</w:t>
      </w:r>
      <w:r>
        <w:br/>
        <w:t>All-India Financial Institutions (Exim Bank, NABARD, NHB and SIDBI)</w:t>
      </w:r>
      <w:r>
        <w:br/>
        <w:t>All Non-Banking Financial Companies (including Housing Finance Companies)</w:t>
      </w:r>
    </w:p>
    <w:p w:rsidR="00865669" w:rsidRDefault="00865669" w:rsidP="00865669">
      <w:r>
        <w:t>Madam/Dear Sir,</w:t>
      </w:r>
    </w:p>
    <w:p w:rsidR="00865669" w:rsidRDefault="00865669" w:rsidP="00865669">
      <w:pPr>
        <w:rPr>
          <w:b/>
          <w:bCs/>
        </w:rPr>
      </w:pPr>
      <w:r>
        <w:rPr>
          <w:b/>
          <w:bCs/>
        </w:rPr>
        <w:t>Prudential norms on Income Recognition, Asset Classification and Provisioning pertaining to Advances - Clarifications</w:t>
      </w:r>
    </w:p>
    <w:p w:rsidR="00865669" w:rsidRDefault="00865669" w:rsidP="00865669">
      <w:r>
        <w:t>Please refer to the </w:t>
      </w:r>
      <w:hyperlink r:id="rId14" w:tgtFrame="_blank" w:history="1">
        <w:r>
          <w:rPr>
            <w:rStyle w:val="Hyperlink"/>
          </w:rPr>
          <w:t>Master Circular on Prudential norms on Income Recognition, Asset Classification and Provisioning pertaining to Advances (IRACP norms) dated October 1, 2021</w:t>
        </w:r>
      </w:hyperlink>
      <w:r>
        <w:t>. With a view to ensuring uniformity in the implementation of IRACP norms across all lending institutions, certain aspects of the extant regulatory guidelines are being clarified and/or harmonized, which will be applicable </w:t>
      </w:r>
      <w:r>
        <w:rPr>
          <w:i/>
          <w:iCs/>
        </w:rPr>
        <w:t>mutatis mutandis</w:t>
      </w:r>
      <w:r>
        <w:t> to all lending institutions. Wherever references to circulars/instructions applicable to banks have been made, other lending institutions may refer to instructions as applicable to them. All the instructions in this circular cover aspects on:</w:t>
      </w:r>
    </w:p>
    <w:p w:rsidR="00865669" w:rsidRDefault="00865669" w:rsidP="00865669">
      <w:pPr>
        <w:rPr>
          <w:b/>
          <w:bCs/>
        </w:rPr>
      </w:pPr>
      <w:r>
        <w:rPr>
          <w:b/>
          <w:bCs/>
        </w:rPr>
        <w:t>A. Specification of due date/repayment date</w:t>
      </w:r>
    </w:p>
    <w:p w:rsidR="00865669" w:rsidRDefault="00865669" w:rsidP="00865669">
      <w:pPr>
        <w:rPr>
          <w:b/>
          <w:bCs/>
        </w:rPr>
      </w:pPr>
      <w:r>
        <w:rPr>
          <w:b/>
          <w:bCs/>
        </w:rPr>
        <w:t>B. Classification as Special Mention Account (SMA) and Non-Performing Asset (NPA)</w:t>
      </w:r>
    </w:p>
    <w:p w:rsidR="00865669" w:rsidRDefault="00865669" w:rsidP="00865669">
      <w:pPr>
        <w:rPr>
          <w:b/>
          <w:bCs/>
        </w:rPr>
      </w:pPr>
      <w:r>
        <w:rPr>
          <w:b/>
          <w:bCs/>
        </w:rPr>
        <w:t>C. Clarification regarding definition of ‘out of order’</w:t>
      </w:r>
    </w:p>
    <w:p w:rsidR="00865669" w:rsidRDefault="00865669" w:rsidP="00865669">
      <w:r>
        <w:rPr>
          <w:b/>
          <w:bCs/>
        </w:rPr>
        <w:t>D. NPA classification in case of interest payments</w:t>
      </w:r>
    </w:p>
    <w:p w:rsidR="00865669" w:rsidRDefault="00865669" w:rsidP="00865669">
      <w:r>
        <w:rPr>
          <w:b/>
          <w:bCs/>
        </w:rPr>
        <w:t>E. Upgradation of accounts classified as NPAs</w:t>
      </w:r>
    </w:p>
    <w:p w:rsidR="00865669" w:rsidRDefault="00865669" w:rsidP="00865669">
      <w:pPr>
        <w:rPr>
          <w:b/>
          <w:bCs/>
        </w:rPr>
      </w:pPr>
      <w:r>
        <w:rPr>
          <w:b/>
          <w:bCs/>
        </w:rPr>
        <w:t>F. Income recognition policy for loans with moratorium on payment of interest</w:t>
      </w:r>
    </w:p>
    <w:p w:rsidR="00865669" w:rsidRDefault="00865669" w:rsidP="00865669">
      <w:r>
        <w:rPr>
          <w:b/>
          <w:bCs/>
        </w:rPr>
        <w:t>G. Consumer Education</w:t>
      </w:r>
    </w:p>
    <w:p w:rsidR="00865669" w:rsidRDefault="00865669" w:rsidP="00865669"/>
    <w:p w:rsidR="00865669" w:rsidRDefault="00865669" w:rsidP="00865669">
      <w:r>
        <w:t>Details under each aspect may be referred from the below link</w:t>
      </w:r>
    </w:p>
    <w:p w:rsidR="00865669" w:rsidRDefault="00865669" w:rsidP="00865669">
      <w:r>
        <w:t xml:space="preserve">Reference link: </w:t>
      </w:r>
      <w:hyperlink r:id="rId15" w:history="1">
        <w:r>
          <w:rPr>
            <w:rStyle w:val="Hyperlink"/>
          </w:rPr>
          <w:t>https://www.rbi.org.in/Scripts/NotificationUser.aspx?Id=12194&amp;Mode=0</w:t>
        </w:r>
      </w:hyperlink>
    </w:p>
    <w:p w:rsidR="00865669" w:rsidRDefault="00865669" w:rsidP="00865669">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Master Circular- Income Recognition, Asset Classification, Provisioning and Other Related Matters – UCBs</w:t>
      </w:r>
    </w:p>
    <w:p w:rsidR="00865669" w:rsidRDefault="00865669" w:rsidP="00865669">
      <w:r>
        <w:t>RBI/2021-22/117</w:t>
      </w:r>
      <w:r>
        <w:br/>
        <w:t>DOR.No.STR.REC.64/21.04.048/2021-22</w:t>
      </w:r>
    </w:p>
    <w:p w:rsidR="00865669" w:rsidRDefault="00865669" w:rsidP="00865669">
      <w:r>
        <w:t>November 1, 2021</w:t>
      </w:r>
    </w:p>
    <w:p w:rsidR="00865669" w:rsidRDefault="00865669" w:rsidP="00865669">
      <w:r>
        <w:t>The Chief Executive Officers</w:t>
      </w:r>
      <w:r>
        <w:br/>
        <w:t>All Primary (Urban) Co-operative Banks</w:t>
      </w:r>
    </w:p>
    <w:p w:rsidR="00865669" w:rsidRDefault="00865669" w:rsidP="00865669">
      <w:r>
        <w:t>Madam / Dear Sir,</w:t>
      </w:r>
    </w:p>
    <w:p w:rsidR="00865669" w:rsidRDefault="00865669" w:rsidP="00865669">
      <w:r>
        <w:t>Master Circular- Income Recognition, Asset Classification, Provisioning and Other Related Matters - UCBs</w:t>
      </w:r>
    </w:p>
    <w:p w:rsidR="00865669" w:rsidRDefault="00865669" w:rsidP="00865669">
      <w:r>
        <w:t>Please refer to our </w:t>
      </w:r>
      <w:hyperlink r:id="rId16" w:tgtFrame="_blank" w:history="1">
        <w:r>
          <w:rPr>
            <w:rStyle w:val="Hyperlink"/>
          </w:rPr>
          <w:t>Master Circular DCBR.BPD. (PCB) MC No.12/09.14.000/2015-16 dated July 1, 2015</w:t>
        </w:r>
      </w:hyperlink>
      <w:r>
        <w:t> on the captioned subject. The enclosed </w:t>
      </w:r>
      <w:hyperlink r:id="rId17" w:anchor="MC" w:history="1">
        <w:r>
          <w:rPr>
            <w:rStyle w:val="Hyperlink"/>
          </w:rPr>
          <w:t>Master Circular</w:t>
        </w:r>
      </w:hyperlink>
      <w:r>
        <w:t> consolidates and updates all the instructions / guidelines on the subject issued up to October 31, 2021 as listed in the </w:t>
      </w:r>
      <w:hyperlink r:id="rId18" w:anchor="ANNEX_9" w:history="1">
        <w:r>
          <w:rPr>
            <w:rStyle w:val="Hyperlink"/>
          </w:rPr>
          <w:t>Annex 9</w:t>
        </w:r>
      </w:hyperlink>
      <w:r>
        <w:t>.</w:t>
      </w:r>
    </w:p>
    <w:p w:rsidR="00865669" w:rsidRDefault="00865669" w:rsidP="00865669">
      <w:r>
        <w:t>Yours faithfully</w:t>
      </w:r>
    </w:p>
    <w:p w:rsidR="00865669" w:rsidRDefault="00865669" w:rsidP="00865669">
      <w:r>
        <w:t>(</w:t>
      </w:r>
      <w:proofErr w:type="spellStart"/>
      <w:r>
        <w:t>Manoranjan</w:t>
      </w:r>
      <w:proofErr w:type="spellEnd"/>
      <w:r>
        <w:t xml:space="preserve"> Mishra)</w:t>
      </w:r>
      <w:r>
        <w:br/>
        <w:t>Chief General Manager</w:t>
      </w:r>
    </w:p>
    <w:p w:rsidR="00865669" w:rsidRDefault="00865669" w:rsidP="00865669">
      <w:proofErr w:type="spellStart"/>
      <w:r>
        <w:t>Encl</w:t>
      </w:r>
      <w:proofErr w:type="spellEnd"/>
      <w:r>
        <w:t>: As above</w:t>
      </w:r>
    </w:p>
    <w:p w:rsidR="00865669" w:rsidRDefault="00865669" w:rsidP="00865669">
      <w:r>
        <w:t xml:space="preserve">Reference link: </w:t>
      </w:r>
      <w:hyperlink r:id="rId19" w:history="1">
        <w:r>
          <w:rPr>
            <w:rStyle w:val="Hyperlink"/>
          </w:rPr>
          <w:t>https://www.rbi.org.in/Scripts/NotificationUser.aspx?Id=12185&amp;Mode=0</w:t>
        </w:r>
      </w:hyperlink>
    </w:p>
    <w:p w:rsidR="00865669" w:rsidRDefault="00865669">
      <w:pPr>
        <w:spacing w:line="259" w:lineRule="auto"/>
      </w:pPr>
    </w:p>
    <w:p w:rsidR="00865669" w:rsidRDefault="00865669">
      <w:pPr>
        <w:spacing w:line="259" w:lineRule="auto"/>
      </w:pPr>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Master Direction – Prudential Norms on Capital Adequacy for Local Area Banks (Directions), 2021</w:t>
      </w:r>
    </w:p>
    <w:p w:rsidR="00865669" w:rsidRDefault="00865669" w:rsidP="00865669">
      <w:r>
        <w:t>RBI/DOR/2021-22/87</w:t>
      </w:r>
      <w:r>
        <w:br/>
        <w:t>DOR.CAP.REC.No.61/21.01.002/2021-22</w:t>
      </w:r>
    </w:p>
    <w:p w:rsidR="00865669" w:rsidRDefault="00865669" w:rsidP="00865669">
      <w:r>
        <w:t>October 26, 2021</w:t>
      </w:r>
    </w:p>
    <w:p w:rsidR="00865669" w:rsidRDefault="00865669" w:rsidP="00865669">
      <w:r>
        <w:t>All Local Area Banks</w:t>
      </w:r>
    </w:p>
    <w:p w:rsidR="00865669" w:rsidRDefault="00865669" w:rsidP="00865669">
      <w:r>
        <w:t>Dear Sir / Madam,</w:t>
      </w:r>
    </w:p>
    <w:p w:rsidR="00865669" w:rsidRDefault="00865669" w:rsidP="00865669">
      <w:pPr>
        <w:rPr>
          <w:b/>
          <w:bCs/>
        </w:rPr>
      </w:pPr>
      <w:r>
        <w:rPr>
          <w:b/>
          <w:bCs/>
        </w:rPr>
        <w:t>Master Direction – Prudential Norms on Capital Adequacy for Local Area Banks (Directions), 2021</w:t>
      </w:r>
    </w:p>
    <w:p w:rsidR="00865669" w:rsidRDefault="00865669" w:rsidP="00865669">
      <w:r>
        <w:t>The Reserve Bank of India has, from time to time, issued several guidelines / instructions / directives to Local Area Banks on Prudential Norms on Capital Adequacy.</w:t>
      </w:r>
    </w:p>
    <w:p w:rsidR="00865669" w:rsidRDefault="00865669" w:rsidP="00865669">
      <w:r>
        <w:t>2. To enable Local Area Banks to have current instructions at one place, a </w:t>
      </w:r>
      <w:hyperlink r:id="rId20" w:anchor="MD" w:history="1">
        <w:r>
          <w:rPr>
            <w:rStyle w:val="Hyperlink"/>
          </w:rPr>
          <w:t>Master Direction</w:t>
        </w:r>
      </w:hyperlink>
      <w:r>
        <w:t>, incorporating all the existing guidelines / instructions / directives on the subject, has been prepared for reference of the banks.</w:t>
      </w:r>
    </w:p>
    <w:p w:rsidR="00865669" w:rsidRDefault="00865669" w:rsidP="00865669">
      <w:r>
        <w:t>3. This Direction has been issued by RBI in exercise of its powers conferred under Section 35A of the Banking Regulation Act 1949 and in exercise of all the powers enabling it in this behalf.</w:t>
      </w:r>
    </w:p>
    <w:p w:rsidR="00865669" w:rsidRDefault="00865669" w:rsidP="00865669">
      <w:r>
        <w:t>Yours faithfully,</w:t>
      </w:r>
    </w:p>
    <w:p w:rsidR="00865669" w:rsidRDefault="00865669" w:rsidP="00865669">
      <w:r>
        <w:t>(</w:t>
      </w:r>
      <w:proofErr w:type="spellStart"/>
      <w:r>
        <w:t>Usha</w:t>
      </w:r>
      <w:proofErr w:type="spellEnd"/>
      <w:r>
        <w:t xml:space="preserve"> </w:t>
      </w:r>
      <w:proofErr w:type="spellStart"/>
      <w:r>
        <w:t>Janakiraman</w:t>
      </w:r>
      <w:proofErr w:type="spellEnd"/>
      <w:r>
        <w:t>)</w:t>
      </w:r>
      <w:r>
        <w:br/>
        <w:t>Chief General Manager</w:t>
      </w:r>
    </w:p>
    <w:p w:rsidR="00865669" w:rsidRDefault="00865669" w:rsidP="00865669">
      <w:r>
        <w:t xml:space="preserve">Reference link: </w:t>
      </w:r>
      <w:hyperlink r:id="rId21" w:history="1">
        <w:r>
          <w:rPr>
            <w:rStyle w:val="Hyperlink"/>
          </w:rPr>
          <w:t>https://www.rbi.org.in/Scripts/NotificationUser.aspx?Id=12182&amp;Mode=0</w:t>
        </w:r>
      </w:hyperlink>
    </w:p>
    <w:p w:rsidR="00865669" w:rsidRDefault="00865669">
      <w:pPr>
        <w:spacing w:line="259" w:lineRule="auto"/>
      </w:pPr>
    </w:p>
    <w:p w:rsidR="00865669" w:rsidRDefault="00865669">
      <w:pPr>
        <w:spacing w:line="259" w:lineRule="auto"/>
      </w:pPr>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Value Free Transfer (VFT) of Government Securities – Guidelines</w:t>
      </w:r>
    </w:p>
    <w:p w:rsidR="00865669" w:rsidRDefault="00865669" w:rsidP="00865669">
      <w:r>
        <w:t>RBI/2021-22/108</w:t>
      </w:r>
      <w:r>
        <w:br/>
        <w:t>IDMD.CDD.No.S930/11.22.003/2021-22</w:t>
      </w:r>
    </w:p>
    <w:p w:rsidR="00865669" w:rsidRDefault="00865669" w:rsidP="00865669">
      <w:r>
        <w:t>October 5, 2021</w:t>
      </w:r>
    </w:p>
    <w:p w:rsidR="00865669" w:rsidRDefault="00865669" w:rsidP="00865669">
      <w:r>
        <w:t>All SGL/CSGL Account holders</w:t>
      </w:r>
    </w:p>
    <w:p w:rsidR="00865669" w:rsidRDefault="00865669" w:rsidP="00865669">
      <w:r>
        <w:t>Madam/Sir,</w:t>
      </w:r>
    </w:p>
    <w:p w:rsidR="00865669" w:rsidRDefault="00865669" w:rsidP="00865669">
      <w:pPr>
        <w:rPr>
          <w:b/>
          <w:bCs/>
        </w:rPr>
      </w:pPr>
      <w:r>
        <w:rPr>
          <w:b/>
          <w:bCs/>
        </w:rPr>
        <w:t>Value Free Transfer (VFT) of Government Securities – Guidelines</w:t>
      </w:r>
    </w:p>
    <w:p w:rsidR="00865669" w:rsidRDefault="00865669" w:rsidP="00865669">
      <w:r>
        <w:t>A reference is invited to </w:t>
      </w:r>
      <w:hyperlink r:id="rId22" w:tgtFrame="_blank" w:history="1">
        <w:r>
          <w:rPr>
            <w:rStyle w:val="Hyperlink"/>
          </w:rPr>
          <w:t>Notification No.78 dated November 16, 2018</w:t>
        </w:r>
      </w:hyperlink>
      <w:r>
        <w:t> on </w:t>
      </w:r>
      <w:r>
        <w:rPr>
          <w:b/>
          <w:bCs/>
        </w:rPr>
        <w:t>Value Free Transfer (VFT) of Government Securities – Guidelines</w:t>
      </w:r>
      <w:r>
        <w:t> under which separate guidelines for VFT were issued to enable more efficient operations in the Government securities market. On a review, it has been decided to issue revised Value Free Transfer Guidelines to further streamline VFT of government securities.</w:t>
      </w:r>
    </w:p>
    <w:p w:rsidR="00865669" w:rsidRDefault="00865669" w:rsidP="00865669">
      <w:r>
        <w:t>2. VFT of the government securities shall mean transfer of securities from one SGL/CSGL to another SGL/CSGL account, without corresponding payment leg in the books of RBI.</w:t>
      </w:r>
    </w:p>
    <w:p w:rsidR="00865669" w:rsidRDefault="00865669" w:rsidP="00865669"/>
    <w:p w:rsidR="00865669" w:rsidRDefault="00865669" w:rsidP="00865669">
      <w:r>
        <w:t>The notification lists the transactions that shall be eligible for VFT of government securities and the system used for such transactions. For more details, the link to the notification is placed below.</w:t>
      </w:r>
    </w:p>
    <w:p w:rsidR="00865669" w:rsidRDefault="00865669" w:rsidP="00865669">
      <w:r>
        <w:t xml:space="preserve">Reference link: </w:t>
      </w:r>
      <w:hyperlink r:id="rId23" w:history="1">
        <w:r>
          <w:rPr>
            <w:rStyle w:val="Hyperlink"/>
          </w:rPr>
          <w:t>https://www.rbi.org.in/Scripts/NotificationUser.aspx?Id=12175&amp;Mode=0</w:t>
        </w:r>
      </w:hyperlink>
    </w:p>
    <w:p w:rsidR="00865669" w:rsidRDefault="00865669">
      <w:pPr>
        <w:spacing w:line="259" w:lineRule="auto"/>
      </w:pPr>
    </w:p>
    <w:p w:rsidR="00865669" w:rsidRDefault="00865669">
      <w:pPr>
        <w:spacing w:line="259" w:lineRule="auto"/>
      </w:pPr>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Basel III Capital Regulations - Perpetual Debt Instruments (PDI) in Additional Tier 1 Capital – Eligible Limit for Instruments Denominated in Foreign Currency/Rupee Denominated Bonds Overseas</w:t>
      </w:r>
    </w:p>
    <w:p w:rsidR="00865669" w:rsidRDefault="00865669" w:rsidP="00865669">
      <w:r>
        <w:t>RBI/2021-22/106</w:t>
      </w:r>
      <w:r>
        <w:br/>
        <w:t>DOR.CAP.REC.No.56/21.06.201/2021-22</w:t>
      </w:r>
    </w:p>
    <w:p w:rsidR="00865669" w:rsidRDefault="00865669" w:rsidP="00865669">
      <w:r>
        <w:t>October 4, 2021</w:t>
      </w:r>
    </w:p>
    <w:p w:rsidR="00865669" w:rsidRDefault="00865669" w:rsidP="00865669">
      <w:r>
        <w:t>All Scheduled Commercial Banks (Excluding RRBs)</w:t>
      </w:r>
    </w:p>
    <w:p w:rsidR="00865669" w:rsidRDefault="00865669" w:rsidP="00865669">
      <w:r>
        <w:t>Dear Sir/ Madam,</w:t>
      </w:r>
    </w:p>
    <w:p w:rsidR="00865669" w:rsidRDefault="00865669" w:rsidP="00865669">
      <w:pPr>
        <w:rPr>
          <w:b/>
          <w:bCs/>
        </w:rPr>
      </w:pPr>
      <w:r>
        <w:rPr>
          <w:b/>
          <w:bCs/>
        </w:rPr>
        <w:t>Basel III Capital Regulations - Perpetual Debt Instruments (PDI) in Additional Tier 1 Capital – Eligible Limit for Instruments Denominated in Foreign Currency/Rupee Denominated Bonds Overseas</w:t>
      </w:r>
    </w:p>
    <w:p w:rsidR="00865669" w:rsidRDefault="00865669" w:rsidP="00865669">
      <w:r>
        <w:t>Please refer to paragraph 1.16 of Annex 4 (Criteria for Inclusion of Perpetual Debt Instruments (PDI) in Additional Tier 1 Capital) to the </w:t>
      </w:r>
      <w:hyperlink r:id="rId24" w:tgtFrame="_blank" w:history="1">
        <w:r>
          <w:rPr>
            <w:rStyle w:val="Hyperlink"/>
          </w:rPr>
          <w:t>Master Circular Ref DBR.No.BP.BC.1/21.06.201/2015-16 dated July 1, 2015</w:t>
        </w:r>
      </w:hyperlink>
      <w:r>
        <w:t> on ‘Basel III Capital Regulations’ and the </w:t>
      </w:r>
      <w:hyperlink r:id="rId25" w:tgtFrame="_blank" w:history="1">
        <w:r>
          <w:rPr>
            <w:rStyle w:val="Hyperlink"/>
          </w:rPr>
          <w:t>circular Ref. DBR.BP.BC.No.28/21.06.001/2016-17 dated November 3, 2016</w:t>
        </w:r>
      </w:hyperlink>
      <w:r>
        <w:t> on Issue of Rupee Denominated Bonds Overseas.</w:t>
      </w:r>
    </w:p>
    <w:p w:rsidR="00865669" w:rsidRDefault="00865669" w:rsidP="00865669">
      <w:r>
        <w:t>2. Several banks have approached us to clarify the amount of capital funds that can be raised overseas. The issue has been examined and it is clarified that the “eligible amount” for purpose of issue of PDIs in foreign currency as per para 1.16 (ii) of Annex 4 to the </w:t>
      </w:r>
      <w:hyperlink r:id="rId26" w:tgtFrame="_blank" w:history="1">
        <w:r>
          <w:rPr>
            <w:rStyle w:val="Hyperlink"/>
          </w:rPr>
          <w:t>Master Circular dated July 1, 2015</w:t>
        </w:r>
      </w:hyperlink>
      <w:r>
        <w:t> referred to above, would mean the higher of:</w:t>
      </w:r>
    </w:p>
    <w:p w:rsidR="00865669" w:rsidRDefault="00865669" w:rsidP="00865669">
      <w:r>
        <w:t>(a) 1.5% of Risk Weighted Assets (RWAs) and</w:t>
      </w:r>
    </w:p>
    <w:p w:rsidR="00865669" w:rsidRDefault="00865669" w:rsidP="00865669">
      <w:r>
        <w:t>(b) Total Additional Tier 1 capital</w:t>
      </w:r>
    </w:p>
    <w:p w:rsidR="00865669" w:rsidRDefault="00865669" w:rsidP="00865669">
      <w:r>
        <w:t>as on March 31 of the previous financial year.</w:t>
      </w:r>
    </w:p>
    <w:p w:rsidR="00865669" w:rsidRDefault="00865669" w:rsidP="00865669">
      <w:r>
        <w:t>Not more than 49% of the “eligible amount” as above can be issued in foreign currency and/or in rupee denominated bonds overseas.</w:t>
      </w:r>
    </w:p>
    <w:p w:rsidR="00865669" w:rsidRDefault="00865669" w:rsidP="00865669">
      <w:r>
        <w:t>3. Accordingly, the sub para (ii) of paragraph 1.16 of Annex 4 to the </w:t>
      </w:r>
      <w:hyperlink r:id="rId27" w:tgtFrame="_blank" w:history="1">
        <w:r>
          <w:rPr>
            <w:rStyle w:val="Hyperlink"/>
          </w:rPr>
          <w:t>Master Circular dated July 1, 2015</w:t>
        </w:r>
      </w:hyperlink>
      <w:r>
        <w:t> referred to above is amended as indicated in </w:t>
      </w:r>
      <w:hyperlink r:id="rId28" w:anchor="A_1" w:history="1">
        <w:r>
          <w:rPr>
            <w:rStyle w:val="Hyperlink"/>
          </w:rPr>
          <w:t>Annex 1</w:t>
        </w:r>
      </w:hyperlink>
      <w:r>
        <w:t> enclosed herewith. An illustration is enclosed in </w:t>
      </w:r>
      <w:hyperlink r:id="rId29" w:anchor="A_2" w:history="1">
        <w:r>
          <w:rPr>
            <w:rStyle w:val="Hyperlink"/>
          </w:rPr>
          <w:t>Annex 2</w:t>
        </w:r>
      </w:hyperlink>
      <w:r>
        <w:t> for greater clarity.</w:t>
      </w:r>
    </w:p>
    <w:p w:rsidR="00865669" w:rsidRDefault="00865669" w:rsidP="00865669">
      <w:r>
        <w:t>4. All the other terms of the </w:t>
      </w:r>
      <w:hyperlink r:id="rId30" w:tgtFrame="_blank" w:history="1">
        <w:r>
          <w:rPr>
            <w:rStyle w:val="Hyperlink"/>
          </w:rPr>
          <w:t>Master Circular on Basel III Capital Regulations dated July 1, 2015</w:t>
        </w:r>
      </w:hyperlink>
      <w:r>
        <w:t>, referred to above, as amended from time to time, shall remain unchanged. The issuances as above shall be subject to all applicable prudential norms and FEMA guidelines.</w:t>
      </w:r>
    </w:p>
    <w:p w:rsidR="00865669" w:rsidRDefault="00865669" w:rsidP="00865669">
      <w:r>
        <w:t>Yours faithfully</w:t>
      </w:r>
    </w:p>
    <w:p w:rsidR="00865669" w:rsidRDefault="00865669" w:rsidP="00865669">
      <w:r>
        <w:t>(</w:t>
      </w:r>
      <w:proofErr w:type="spellStart"/>
      <w:r>
        <w:t>Neeraj</w:t>
      </w:r>
      <w:proofErr w:type="spellEnd"/>
      <w:r>
        <w:t xml:space="preserve"> Nigam)</w:t>
      </w:r>
      <w:r>
        <w:br/>
        <w:t>Chief General Manager-in-Charge</w:t>
      </w:r>
    </w:p>
    <w:p w:rsidR="00865669" w:rsidRDefault="00865669" w:rsidP="00865669">
      <w:r>
        <w:t xml:space="preserve">Reference link: </w:t>
      </w:r>
      <w:hyperlink r:id="rId31" w:history="1">
        <w:r>
          <w:rPr>
            <w:rStyle w:val="Hyperlink"/>
          </w:rPr>
          <w:t>https://www.rbi.org.in/Scripts/NotificationUser.aspx?Id=12173&amp;Mode=0</w:t>
        </w:r>
      </w:hyperlink>
    </w:p>
    <w:p w:rsidR="00865669" w:rsidRDefault="00865669" w:rsidP="00865669"/>
    <w:p w:rsidR="00865669" w:rsidRDefault="00865669">
      <w:pPr>
        <w:spacing w:line="259" w:lineRule="auto"/>
      </w:pPr>
    </w:p>
    <w:p w:rsidR="00865669" w:rsidRDefault="00865669">
      <w:pPr>
        <w:spacing w:line="259" w:lineRule="auto"/>
      </w:pPr>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Master Circular - Prudential norms on Income Recognition, Asset Classification and Provisioning pertaining to Advances</w:t>
      </w:r>
    </w:p>
    <w:p w:rsidR="00865669" w:rsidRDefault="00865669" w:rsidP="00865669">
      <w:r>
        <w:t>RBI/2021-2022/104</w:t>
      </w:r>
      <w:r>
        <w:br/>
        <w:t>DOR.No.STR.REC.55/21.04.048/2021-22</w:t>
      </w:r>
    </w:p>
    <w:p w:rsidR="00865669" w:rsidRDefault="00865669" w:rsidP="00865669">
      <w:r>
        <w:t>October 1, 2021</w:t>
      </w:r>
    </w:p>
    <w:p w:rsidR="00865669" w:rsidRDefault="00865669" w:rsidP="00865669">
      <w:r>
        <w:t>All Commercial Banks (excluding RRBs)</w:t>
      </w:r>
    </w:p>
    <w:p w:rsidR="00865669" w:rsidRDefault="00865669" w:rsidP="00865669">
      <w:r>
        <w:t>Madam/Dear Sir</w:t>
      </w:r>
    </w:p>
    <w:p w:rsidR="00865669" w:rsidRDefault="00865669" w:rsidP="00865669">
      <w:pPr>
        <w:rPr>
          <w:b/>
          <w:bCs/>
        </w:rPr>
      </w:pPr>
      <w:r>
        <w:rPr>
          <w:b/>
          <w:bCs/>
        </w:rPr>
        <w:t>Master Circular - Prudential norms on Income Recognition, Asset Classification and Provisioning pertaining to Advances</w:t>
      </w:r>
    </w:p>
    <w:p w:rsidR="00865669" w:rsidRDefault="00865669" w:rsidP="00865669">
      <w:r>
        <w:t>Please refer to the </w:t>
      </w:r>
      <w:hyperlink r:id="rId32" w:tgtFrame="_blank" w:history="1">
        <w:r>
          <w:rPr>
            <w:rStyle w:val="Hyperlink"/>
          </w:rPr>
          <w:t>Master Circular No. DBR.No.BP.BC.2/21.04.048/2015-16 dated July 1, 2015</w:t>
        </w:r>
      </w:hyperlink>
      <w:r>
        <w:t> consolidating instructions / guidelines issued to banks till June 30, 2015 on matters relating to prudential norms on income recognition, asset classification and provisioning pertaining to advances.</w:t>
      </w:r>
    </w:p>
    <w:p w:rsidR="00865669" w:rsidRDefault="00865669" w:rsidP="00865669">
      <w:r>
        <w:t>2. This </w:t>
      </w:r>
      <w:hyperlink r:id="rId33" w:anchor="MD" w:history="1">
        <w:r>
          <w:rPr>
            <w:rStyle w:val="Hyperlink"/>
          </w:rPr>
          <w:t>Master Circular</w:t>
        </w:r>
      </w:hyperlink>
      <w:r>
        <w:t> consolidates instructions on the above matters issued as on date. A list of circulars consolidated in this Master Circular is contained in the </w:t>
      </w:r>
      <w:hyperlink r:id="rId34" w:anchor="AN6" w:history="1">
        <w:r>
          <w:rPr>
            <w:rStyle w:val="Hyperlink"/>
          </w:rPr>
          <w:t>Annex 6</w:t>
        </w:r>
      </w:hyperlink>
      <w:r>
        <w:t>.</w:t>
      </w:r>
    </w:p>
    <w:p w:rsidR="00865669" w:rsidRDefault="00865669" w:rsidP="00865669">
      <w:r>
        <w:t>Yours faithfully</w:t>
      </w:r>
    </w:p>
    <w:p w:rsidR="00865669" w:rsidRDefault="00865669" w:rsidP="00865669">
      <w:r>
        <w:t>(</w:t>
      </w:r>
      <w:proofErr w:type="spellStart"/>
      <w:r>
        <w:t>Manoranjan</w:t>
      </w:r>
      <w:proofErr w:type="spellEnd"/>
      <w:r>
        <w:t xml:space="preserve"> Mishra)</w:t>
      </w:r>
      <w:r>
        <w:br/>
        <w:t>Chief General Manager</w:t>
      </w:r>
    </w:p>
    <w:p w:rsidR="00865669" w:rsidRDefault="00865669" w:rsidP="00865669">
      <w:r>
        <w:t>Encl.: As above</w:t>
      </w:r>
    </w:p>
    <w:p w:rsidR="00865669" w:rsidRDefault="00865669" w:rsidP="00865669">
      <w:r>
        <w:t xml:space="preserve">Reference link: </w:t>
      </w:r>
      <w:hyperlink r:id="rId35" w:history="1">
        <w:r>
          <w:rPr>
            <w:rStyle w:val="Hyperlink"/>
          </w:rPr>
          <w:t>https://www.rbi.org.in/Scripts/NotificationUser.aspx?Id=12171&amp;Mode=0</w:t>
        </w:r>
      </w:hyperlink>
    </w:p>
    <w:p w:rsidR="00865669" w:rsidRDefault="00865669" w:rsidP="00865669"/>
    <w:p w:rsidR="00865669" w:rsidRDefault="00865669">
      <w:pPr>
        <w:spacing w:line="259" w:lineRule="auto"/>
      </w:pPr>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(Transfer of Loan Exposures) Directions, 2021</w:t>
      </w:r>
    </w:p>
    <w:p w:rsidR="00865669" w:rsidRDefault="00865669" w:rsidP="00865669">
      <w:r>
        <w:t>RBI/DOR/2021-22/86</w:t>
      </w:r>
      <w:r>
        <w:br/>
        <w:t>DOR.STR.REC.51/21.04.048/2021-22</w:t>
      </w:r>
    </w:p>
    <w:p w:rsidR="00865669" w:rsidRDefault="00865669" w:rsidP="00865669">
      <w:r>
        <w:t>September 24, 2021</w:t>
      </w:r>
    </w:p>
    <w:p w:rsidR="00865669" w:rsidRDefault="00865669" w:rsidP="00865669">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865669" w:rsidRDefault="00865669" w:rsidP="00865669">
      <w:pPr>
        <w:rPr>
          <w:b/>
          <w:bCs/>
        </w:rPr>
      </w:pPr>
      <w:r>
        <w:rPr>
          <w:b/>
          <w:bCs/>
        </w:rPr>
        <w:t>Master Direction – Reserve Bank of India (Transfer of Loan Exposures) Directions, 2021</w:t>
      </w:r>
    </w:p>
    <w:p w:rsidR="00865669" w:rsidRDefault="00865669" w:rsidP="00865669">
      <w:r>
        <w:t>Please refer to the Draft Comprehensive Framework for Sale of Loan Exposures that was released on </w:t>
      </w:r>
      <w:hyperlink r:id="rId36" w:tgtFrame="_blank" w:history="1">
        <w:r>
          <w:rPr>
            <w:rStyle w:val="Hyperlink"/>
          </w:rPr>
          <w:t>June 8, 2020</w:t>
        </w:r>
      </w:hyperlink>
      <w:r>
        <w:t> for comments from various stakeholders.</w:t>
      </w:r>
    </w:p>
    <w:p w:rsidR="00865669" w:rsidRDefault="00865669" w:rsidP="00865669">
      <w:r>
        <w:t>2. Based on the examination of the comments received, the Reserve Bank has issued the Master Direction – Reserve Bank of India (Transfer of Loan Exposures) Directions, 2021, which are </w:t>
      </w:r>
      <w:hyperlink r:id="rId37" w:anchor="MD" w:history="1">
        <w:r>
          <w:rPr>
            <w:rStyle w:val="Hyperlink"/>
          </w:rPr>
          <w:t>enclosed</w:t>
        </w:r>
      </w:hyperlink>
      <w:r>
        <w:t>. These directions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865669" w:rsidRDefault="00865669" w:rsidP="00865669">
      <w:r>
        <w:t>3. These directions come into immediate effect replacing the existing instructions on the matter of sale / transfer of loan exposures. All lending institutions are advised to take necessary steps to ensure compliance with these directions.</w:t>
      </w:r>
    </w:p>
    <w:p w:rsidR="00865669" w:rsidRDefault="00865669" w:rsidP="00865669">
      <w:r>
        <w:t>Yours faithfully,</w:t>
      </w:r>
    </w:p>
    <w:p w:rsidR="00865669" w:rsidRDefault="00865669" w:rsidP="00865669">
      <w:r>
        <w:t>(</w:t>
      </w:r>
      <w:proofErr w:type="spellStart"/>
      <w:r>
        <w:t>Manoranjan</w:t>
      </w:r>
      <w:proofErr w:type="spellEnd"/>
      <w:r>
        <w:t xml:space="preserve"> Mishra)</w:t>
      </w:r>
      <w:r>
        <w:br/>
        <w:t>Chief General Manager</w:t>
      </w:r>
    </w:p>
    <w:p w:rsidR="00865669" w:rsidRDefault="00865669" w:rsidP="00865669">
      <w:r>
        <w:t xml:space="preserve">Reference link: </w:t>
      </w:r>
      <w:hyperlink r:id="rId38" w:history="1">
        <w:r>
          <w:rPr>
            <w:rStyle w:val="Hyperlink"/>
          </w:rPr>
          <w:t>https://www.rbi.org.in/Scripts/NotificationUser.aspx?Id=12166&amp;Mode=0</w:t>
        </w:r>
      </w:hyperlink>
    </w:p>
    <w:p w:rsidR="00865669" w:rsidRDefault="00865669" w:rsidP="00865669"/>
    <w:p w:rsidR="00865669" w:rsidRDefault="00865669" w:rsidP="00865669"/>
    <w:p w:rsidR="00865669" w:rsidRDefault="00865669" w:rsidP="00865669"/>
    <w:p w:rsidR="00865669" w:rsidRDefault="00865669" w:rsidP="00865669"/>
    <w:p w:rsidR="00865669" w:rsidRDefault="00865669" w:rsidP="00865669"/>
    <w:p w:rsidR="00865669" w:rsidRDefault="00865669" w:rsidP="00865669"/>
    <w:p w:rsidR="00865669" w:rsidRDefault="00865669" w:rsidP="00865669"/>
    <w:p w:rsidR="00865669" w:rsidRDefault="00865669" w:rsidP="00865669"/>
    <w:p w:rsidR="00865669" w:rsidRDefault="00865669" w:rsidP="00865669"/>
    <w:p w:rsidR="00865669" w:rsidRDefault="00865669" w:rsidP="00865669"/>
    <w:p w:rsidR="00865669" w:rsidRDefault="00865669" w:rsidP="00865669"/>
    <w:p w:rsidR="00865669" w:rsidRDefault="00865669" w:rsidP="00865669">
      <w:pPr>
        <w:rPr>
          <w:rFonts w:ascii="Arial" w:hAnsi="Arial" w:cs="Arial"/>
          <w:b/>
          <w:bCs/>
          <w:color w:val="000000"/>
          <w:sz w:val="20"/>
          <w:szCs w:val="20"/>
        </w:rPr>
      </w:pPr>
    </w:p>
    <w:p w:rsidR="00865669" w:rsidRDefault="00865669" w:rsidP="00865669">
      <w:pPr>
        <w:rPr>
          <w:rFonts w:ascii="Arial" w:hAnsi="Arial" w:cs="Arial"/>
          <w:b/>
          <w:bCs/>
          <w:color w:val="000000"/>
          <w:sz w:val="20"/>
          <w:szCs w:val="20"/>
        </w:rPr>
      </w:pPr>
      <w:r>
        <w:rPr>
          <w:rFonts w:ascii="Arial" w:hAnsi="Arial" w:cs="Arial"/>
          <w:b/>
          <w:bCs/>
          <w:color w:val="000000"/>
          <w:sz w:val="20"/>
          <w:szCs w:val="20"/>
        </w:rPr>
        <w:t>Master Direction – Reserve Bank of India (Securitisation of Standard Assets) Directions, 2021</w:t>
      </w:r>
    </w:p>
    <w:p w:rsidR="00865669" w:rsidRDefault="00865669" w:rsidP="00865669">
      <w:r>
        <w:t>RBI/DOR/2021-22/85</w:t>
      </w:r>
      <w:r>
        <w:br/>
        <w:t>DOR.STR.REC.53/21.04.177/2021-22</w:t>
      </w:r>
    </w:p>
    <w:p w:rsidR="00865669" w:rsidRDefault="00865669" w:rsidP="00865669">
      <w:r>
        <w:t>September 24, 2021</w:t>
      </w:r>
    </w:p>
    <w:p w:rsidR="00865669" w:rsidRDefault="00865669" w:rsidP="00865669">
      <w:r>
        <w:t>All Scheduled Commercial Banks (including Small Finance Banks but excluding Regional Rural Banks);</w:t>
      </w:r>
      <w:r>
        <w:br/>
        <w:t>All All-India Term Financial Institutions (NABARD, NHB, EXIM Bank, and SIDBI);</w:t>
      </w:r>
      <w:r>
        <w:br/>
        <w:t>All Non-Banking Financial Companies (NBFCs) including Housing Finance Companies (HFCs)</w:t>
      </w:r>
    </w:p>
    <w:p w:rsidR="00865669" w:rsidRDefault="00865669" w:rsidP="00865669">
      <w:pPr>
        <w:rPr>
          <w:b/>
          <w:bCs/>
        </w:rPr>
      </w:pPr>
      <w:r>
        <w:rPr>
          <w:b/>
          <w:bCs/>
        </w:rPr>
        <w:t>Master Direction – Reserve Bank of India (Securitisation of Standard Assets) Directions, 2021</w:t>
      </w:r>
    </w:p>
    <w:p w:rsidR="00865669" w:rsidRDefault="00865669" w:rsidP="00865669">
      <w:r>
        <w:t>Please refer to the Draft Framework for Securitisation of Standard Assets that was released on </w:t>
      </w:r>
      <w:hyperlink r:id="rId39" w:tgtFrame="_blank" w:history="1">
        <w:r>
          <w:rPr>
            <w:rStyle w:val="Hyperlink"/>
          </w:rPr>
          <w:t>June 8, 2020</w:t>
        </w:r>
      </w:hyperlink>
      <w:r>
        <w:t> for comments from various stakeholders.</w:t>
      </w:r>
    </w:p>
    <w:p w:rsidR="00865669" w:rsidRDefault="00865669" w:rsidP="00865669">
      <w:r>
        <w:t>2. Based on the examination of the comments received, the Reserve Bank has issued the Master Direction – Reserve Bank of India (Securitisation of Standard Assets) Directions, 2021, which are </w:t>
      </w:r>
      <w:hyperlink r:id="rId40" w:anchor="ANC1" w:history="1">
        <w:r>
          <w:rPr>
            <w:rStyle w:val="Hyperlink"/>
          </w:rPr>
          <w:t>enclosed</w:t>
        </w:r>
      </w:hyperlink>
      <w:r>
        <w:t>. These directions have been issued in exercise of the powers conferred by the Sections 21 and 35A of the Banking Regulation Act, 1949; Chapter IIIB of the Reserve Bank of India Act, 1934; and Sections 30A, 32 and 33 of the National Housing Bank Act, 1987.</w:t>
      </w:r>
    </w:p>
    <w:p w:rsidR="00865669" w:rsidRDefault="00865669" w:rsidP="00865669">
      <w:r>
        <w:t>3. These directions come into immediate effect replacing the existing instructions on the matter of securitisation of standard assets. All lending institutions are advised to take necessary steps to ensure compliance with these directions.</w:t>
      </w:r>
    </w:p>
    <w:p w:rsidR="00865669" w:rsidRDefault="00865669" w:rsidP="00865669">
      <w:r>
        <w:t>Yours faithfully,</w:t>
      </w:r>
    </w:p>
    <w:p w:rsidR="00865669" w:rsidRDefault="00865669" w:rsidP="00865669">
      <w:r>
        <w:t>(</w:t>
      </w:r>
      <w:proofErr w:type="spellStart"/>
      <w:r>
        <w:t>Manoranjan</w:t>
      </w:r>
      <w:proofErr w:type="spellEnd"/>
      <w:r>
        <w:t xml:space="preserve"> Mishra)</w:t>
      </w:r>
      <w:r>
        <w:br/>
        <w:t>Chief General Manager</w:t>
      </w:r>
    </w:p>
    <w:p w:rsidR="00865669" w:rsidRDefault="00865669" w:rsidP="00865669">
      <w:r>
        <w:t xml:space="preserve">Reference link: </w:t>
      </w:r>
      <w:hyperlink r:id="rId41" w:history="1">
        <w:r>
          <w:rPr>
            <w:rStyle w:val="Hyperlink"/>
          </w:rPr>
          <w:t>https://www.rbi.org.in/Scripts/NotificationUser.aspx?Id=12165&amp;Mode=0</w:t>
        </w:r>
      </w:hyperlink>
    </w:p>
    <w:p w:rsidR="00865669" w:rsidRDefault="00865669"/>
    <w:p w:rsidR="00865669" w:rsidRDefault="00865669">
      <w:pPr>
        <w:spacing w:line="259" w:lineRule="auto"/>
      </w:pPr>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Master Direction on Financial Statements - Presentation and Disclosures (</w:t>
      </w:r>
      <w:r>
        <w:rPr>
          <w:rFonts w:ascii="Arial" w:hAnsi="Arial" w:cs="Arial"/>
          <w:b/>
          <w:bCs/>
          <w:color w:val="FF0000"/>
          <w:sz w:val="20"/>
          <w:szCs w:val="20"/>
        </w:rPr>
        <w:t>Updated as on November 15, 2021</w:t>
      </w:r>
      <w:r>
        <w:rPr>
          <w:rFonts w:ascii="Arial" w:hAnsi="Arial" w:cs="Arial"/>
          <w:b/>
          <w:bCs/>
          <w:color w:val="000000"/>
          <w:sz w:val="20"/>
          <w:szCs w:val="20"/>
        </w:rPr>
        <w:t>)</w:t>
      </w:r>
    </w:p>
    <w:p w:rsidR="00865669" w:rsidRDefault="00865669" w:rsidP="00865669">
      <w:r>
        <w:t>RBI/DOR/2021-22/83</w:t>
      </w:r>
      <w:r>
        <w:br/>
        <w:t>DOR.ACC.REC.No.45/21.04.018/2021-22</w:t>
      </w:r>
    </w:p>
    <w:p w:rsidR="00865669" w:rsidRDefault="00865669" w:rsidP="00865669">
      <w:r>
        <w:t>August 30, 2021</w:t>
      </w:r>
      <w:r>
        <w:br/>
        <w:t>(Updated as on November 15, 2021)</w:t>
      </w:r>
    </w:p>
    <w:p w:rsidR="00865669" w:rsidRDefault="00865669" w:rsidP="00865669">
      <w:r>
        <w:t>All Commercial Banks and</w:t>
      </w:r>
      <w:r>
        <w:br/>
        <w:t>Primary (urban) Cooperative Banks</w:t>
      </w:r>
    </w:p>
    <w:p w:rsidR="00865669" w:rsidRDefault="00865669" w:rsidP="00865669">
      <w:r>
        <w:t>Madam/ Dear Sir,</w:t>
      </w:r>
    </w:p>
    <w:p w:rsidR="00865669" w:rsidRDefault="00865669" w:rsidP="00865669">
      <w:pPr>
        <w:rPr>
          <w:b/>
          <w:bCs/>
        </w:rPr>
      </w:pPr>
      <w:r>
        <w:rPr>
          <w:b/>
          <w:bCs/>
        </w:rPr>
        <w:t>Master Direction on Financial Statements - Presentation and Disclosures</w:t>
      </w:r>
    </w:p>
    <w:p w:rsidR="00865669" w:rsidRDefault="00865669" w:rsidP="00865669">
      <w:r>
        <w:t>The Reserve Bank of India has, from time to time, issued several guidelines/instructions/directives to the banks on the presentation of financial statements, regulatory clarification on compliance with accounting standards, and disclosures in notes to accounts.</w:t>
      </w:r>
    </w:p>
    <w:p w:rsidR="00865669" w:rsidRDefault="00865669" w:rsidP="00865669">
      <w:r>
        <w:t>2. A Master Direction incorporating, updating and where required, harmonizing across the banking sector the extant guidelines/instructions/directives on the subject has been prepared to enable banks to have all current instructions on presentation and disclosure in financial statements at one place for reference. However, it may be noted that in addition to these disclosures, Commercial Banks shall comply with the disclosures specified under the applicable regulatory capital framework.</w:t>
      </w:r>
    </w:p>
    <w:p w:rsidR="00865669" w:rsidRDefault="00865669" w:rsidP="00865669">
      <w:r>
        <w:t>3. Reserve Bank of India has issued this </w:t>
      </w:r>
      <w:hyperlink r:id="rId42" w:anchor="MC" w:history="1">
        <w:r>
          <w:rPr>
            <w:rStyle w:val="Hyperlink"/>
          </w:rPr>
          <w:t>Direction</w:t>
        </w:r>
      </w:hyperlink>
      <w:r>
        <w:t> in the exercise of its powers conferred under section 35A and section 56 of the Banking Regulation Act, 1949, and all the powers enabling it on this behalf.</w:t>
      </w:r>
    </w:p>
    <w:p w:rsidR="00865669" w:rsidRDefault="00865669" w:rsidP="00865669">
      <w:r>
        <w:t>Yours faithfully,</w:t>
      </w:r>
    </w:p>
    <w:p w:rsidR="00865669" w:rsidRDefault="00865669" w:rsidP="00865669">
      <w:r>
        <w:t>(</w:t>
      </w:r>
      <w:proofErr w:type="spellStart"/>
      <w:r>
        <w:t>Usha</w:t>
      </w:r>
      <w:proofErr w:type="spellEnd"/>
      <w:r>
        <w:t xml:space="preserve"> </w:t>
      </w:r>
      <w:proofErr w:type="spellStart"/>
      <w:r>
        <w:t>Janakiraman</w:t>
      </w:r>
      <w:proofErr w:type="spellEnd"/>
      <w:r>
        <w:t>)</w:t>
      </w:r>
      <w:r>
        <w:br/>
        <w:t>Chief General Manager</w:t>
      </w:r>
    </w:p>
    <w:p w:rsidR="00865669" w:rsidRDefault="00865669" w:rsidP="00865669">
      <w:r>
        <w:t xml:space="preserve">Reference link: </w:t>
      </w:r>
      <w:hyperlink r:id="rId43" w:history="1">
        <w:r>
          <w:rPr>
            <w:rStyle w:val="Hyperlink"/>
          </w:rPr>
          <w:t>https://www.rbi.org.in/Scripts/NotificationUser.aspx?Id=12158&amp;Mode=0</w:t>
        </w:r>
      </w:hyperlink>
    </w:p>
    <w:p w:rsidR="00865669" w:rsidRDefault="00865669" w:rsidP="00865669"/>
    <w:p w:rsidR="00865669" w:rsidRDefault="00865669" w:rsidP="00865669"/>
    <w:p w:rsidR="00865669" w:rsidRDefault="00865669" w:rsidP="00865669"/>
    <w:p w:rsidR="00865669" w:rsidRDefault="00865669" w:rsidP="00865669">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Guidelines on Compensation of Whole Time Directors/ Chief Executive Officers/ Material Risk Takers and Control Function staff – Clarification</w:t>
      </w:r>
    </w:p>
    <w:p w:rsidR="00865669" w:rsidRDefault="00865669" w:rsidP="00865669">
      <w:r>
        <w:t>RBI/2021-22/95</w:t>
      </w:r>
      <w:r>
        <w:br/>
        <w:t>DOR.GOV.REC.44/29.67.001/2021-22</w:t>
      </w:r>
    </w:p>
    <w:p w:rsidR="00865669" w:rsidRDefault="00865669" w:rsidP="00865669">
      <w:r>
        <w:t>August 30, 2021</w:t>
      </w:r>
    </w:p>
    <w:p w:rsidR="00865669" w:rsidRDefault="00865669" w:rsidP="00865669">
      <w:pPr>
        <w:rPr>
          <w:b/>
          <w:bCs/>
        </w:rPr>
      </w:pPr>
      <w:r>
        <w:rPr>
          <w:b/>
          <w:bCs/>
        </w:rPr>
        <w:t>All Private Sector Banks (including Local Area Banks, Small Finance</w:t>
      </w:r>
      <w:r>
        <w:rPr>
          <w:b/>
          <w:bCs/>
        </w:rPr>
        <w:br/>
        <w:t>Banks, Payments Banks) and Foreign Banks operating in India</w:t>
      </w:r>
    </w:p>
    <w:p w:rsidR="00865669" w:rsidRDefault="00865669" w:rsidP="00865669">
      <w:r>
        <w:t>Dear Sir/Madam,</w:t>
      </w:r>
    </w:p>
    <w:p w:rsidR="00865669" w:rsidRDefault="00865669" w:rsidP="00865669">
      <w:pPr>
        <w:rPr>
          <w:b/>
          <w:bCs/>
        </w:rPr>
      </w:pPr>
      <w:r>
        <w:rPr>
          <w:b/>
          <w:bCs/>
        </w:rPr>
        <w:t>Guidelines on Compensation of Whole Time Directors/ Chief Executive Officers/ Material Risk Takers and Control Function staff - Clarification</w:t>
      </w:r>
    </w:p>
    <w:p w:rsidR="00865669" w:rsidRDefault="00865669" w:rsidP="00865669">
      <w:r>
        <w:t>Please refer to para 2.1.2 (f) of our </w:t>
      </w:r>
      <w:hyperlink r:id="rId44" w:tgtFrame="_blank" w:history="1">
        <w:r>
          <w:rPr>
            <w:rStyle w:val="Hyperlink"/>
          </w:rPr>
          <w:t>circular DOR.Appt.BC.No.23/29.67.001/2019-20 dated November 04, 2019</w:t>
        </w:r>
      </w:hyperlink>
      <w:r>
        <w:t> on the captioned subject. In terms of the extant guidelines, share-linked instruments are required to be fair valued on the date of grant using Black-Scholes model. However, it has been observed that banks do not recognise grant of the share-linked compensation as an expense in their books of account concurrently. Therefore, in the interest of better clarity, the following sentence is being added to the extant instructions contained in the said paragraph:</w:t>
      </w:r>
    </w:p>
    <w:p w:rsidR="00865669" w:rsidRDefault="00865669" w:rsidP="00865669">
      <w:pPr>
        <w:rPr>
          <w:b/>
          <w:bCs/>
        </w:rPr>
      </w:pPr>
      <w:r>
        <w:rPr>
          <w:b/>
          <w:bCs/>
        </w:rPr>
        <w:t>“The fair value thus arrived at should be recognised as expense beginning with the accounting period for which approval has been granted”.</w:t>
      </w:r>
    </w:p>
    <w:p w:rsidR="00865669" w:rsidRDefault="00865669" w:rsidP="00865669">
      <w:r>
        <w:t>2. Banks should ensure compliance to above instructions for all share-linked instruments granted after the accounting period ending March 31, 2021.</w:t>
      </w:r>
    </w:p>
    <w:p w:rsidR="00865669" w:rsidRDefault="00865669" w:rsidP="00865669">
      <w:r>
        <w:t>Yours faithfully,</w:t>
      </w:r>
    </w:p>
    <w:p w:rsidR="00865669" w:rsidRDefault="00865669" w:rsidP="00865669">
      <w:pPr>
        <w:rPr>
          <w:b/>
          <w:bCs/>
        </w:rPr>
      </w:pPr>
      <w:r>
        <w:rPr>
          <w:b/>
          <w:bCs/>
        </w:rPr>
        <w:t>(</w:t>
      </w:r>
      <w:proofErr w:type="spellStart"/>
      <w:r>
        <w:rPr>
          <w:b/>
          <w:bCs/>
        </w:rPr>
        <w:t>Shrimohan</w:t>
      </w:r>
      <w:proofErr w:type="spellEnd"/>
      <w:r>
        <w:rPr>
          <w:b/>
          <w:bCs/>
        </w:rPr>
        <w:t xml:space="preserve"> Yadav)</w:t>
      </w:r>
      <w:r>
        <w:rPr>
          <w:b/>
          <w:bCs/>
        </w:rPr>
        <w:br/>
        <w:t>Chief General Manager</w:t>
      </w:r>
    </w:p>
    <w:p w:rsidR="00865669" w:rsidRDefault="00865669" w:rsidP="00865669">
      <w:r>
        <w:t xml:space="preserve">Reference link: </w:t>
      </w:r>
      <w:hyperlink r:id="rId45" w:history="1">
        <w:r>
          <w:rPr>
            <w:rStyle w:val="Hyperlink"/>
          </w:rPr>
          <w:t>https://www.rbi.org.in/Scripts/NotificationUser.aspx?Id=12157&amp;Mode=0</w:t>
        </w:r>
      </w:hyperlink>
    </w:p>
    <w:p w:rsidR="00865669" w:rsidRDefault="00865669"/>
    <w:p w:rsidR="00865669" w:rsidRDefault="00865669">
      <w:pPr>
        <w:spacing w:line="259" w:lineRule="auto"/>
      </w:pPr>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Master Direction - Classification, Valuation and Operation of Investment Portfolio of Commercial Banks (Directions), 2021</w:t>
      </w:r>
    </w:p>
    <w:p w:rsidR="00865669" w:rsidRDefault="00865669" w:rsidP="00865669">
      <w:r>
        <w:t>RBI/DOR/2021-22/81</w:t>
      </w:r>
      <w:r>
        <w:br/>
        <w:t>DOR.MRG.42/21.04.141/2021-22</w:t>
      </w:r>
    </w:p>
    <w:p w:rsidR="00865669" w:rsidRDefault="00865669" w:rsidP="00865669">
      <w:r>
        <w:t>August 25, 2021</w:t>
      </w:r>
    </w:p>
    <w:p w:rsidR="00865669" w:rsidRDefault="00865669" w:rsidP="00865669">
      <w:r>
        <w:t>All Commercial Banks (excluding RRBs)</w:t>
      </w:r>
    </w:p>
    <w:p w:rsidR="00865669" w:rsidRDefault="00865669" w:rsidP="00865669">
      <w:r>
        <w:t>Dear Sir / Madam,</w:t>
      </w:r>
    </w:p>
    <w:p w:rsidR="00865669" w:rsidRDefault="00865669" w:rsidP="00865669">
      <w:pPr>
        <w:rPr>
          <w:b/>
          <w:bCs/>
        </w:rPr>
      </w:pPr>
      <w:r>
        <w:rPr>
          <w:b/>
          <w:bCs/>
        </w:rPr>
        <w:t>Master Direction - Classification, Valuation and Operation of Investment Portfolio of Commercial Banks (Directions), 2021</w:t>
      </w:r>
    </w:p>
    <w:p w:rsidR="00865669" w:rsidRDefault="00865669" w:rsidP="00865669">
      <w:r>
        <w:t>The Reserve Bank of India has, from time to time, issued several guidelines / instructions / directives to the banks on Prudential Norms for Classification, Valuation and Operation of Investment Portfolio by Banks.</w:t>
      </w:r>
    </w:p>
    <w:p w:rsidR="00865669" w:rsidRDefault="00865669" w:rsidP="00865669">
      <w:r>
        <w:t>2. To enable banks to have current instructions at one place, a </w:t>
      </w:r>
      <w:hyperlink r:id="rId46" w:anchor="MD" w:history="1">
        <w:r>
          <w:rPr>
            <w:rStyle w:val="Hyperlink"/>
          </w:rPr>
          <w:t>Master Direction</w:t>
        </w:r>
      </w:hyperlink>
      <w:r>
        <w:t> incorporating all the existing guidelines / instructions / directives on the subject has been prepared for reference of the banks.</w:t>
      </w:r>
    </w:p>
    <w:p w:rsidR="00865669" w:rsidRDefault="00865669" w:rsidP="00865669">
      <w:r>
        <w:t>3. This Direction has been issued by RBI in exercise of its powers conferred under Section 35A of the Banking Regulation Act 1949 and of all the powers enabling it in this behalf.</w:t>
      </w:r>
    </w:p>
    <w:p w:rsidR="00865669" w:rsidRDefault="00865669" w:rsidP="00865669">
      <w:r>
        <w:t>Yours faithfully,</w:t>
      </w:r>
    </w:p>
    <w:p w:rsidR="00865669" w:rsidRDefault="00865669" w:rsidP="00865669">
      <w:r>
        <w:t>(</w:t>
      </w:r>
      <w:proofErr w:type="spellStart"/>
      <w:r>
        <w:t>Usha</w:t>
      </w:r>
      <w:proofErr w:type="spellEnd"/>
      <w:r>
        <w:t xml:space="preserve"> </w:t>
      </w:r>
      <w:proofErr w:type="spellStart"/>
      <w:r>
        <w:t>Janakiraman</w:t>
      </w:r>
      <w:proofErr w:type="spellEnd"/>
      <w:r>
        <w:t>)</w:t>
      </w:r>
      <w:r>
        <w:br/>
        <w:t>Chief General Manager</w:t>
      </w:r>
    </w:p>
    <w:p w:rsidR="00865669" w:rsidRDefault="00865669" w:rsidP="00865669">
      <w:r>
        <w:t xml:space="preserve">Reference link: </w:t>
      </w:r>
      <w:hyperlink r:id="rId47" w:history="1">
        <w:r>
          <w:rPr>
            <w:rStyle w:val="Hyperlink"/>
          </w:rPr>
          <w:t>https://www.rbi.org.in/Scripts/NotificationUser.aspx?Id=12153&amp;Mode=0</w:t>
        </w:r>
      </w:hyperlink>
    </w:p>
    <w:p w:rsidR="00865669" w:rsidRDefault="00865669"/>
    <w:p w:rsidR="00865669" w:rsidRDefault="00865669">
      <w:pPr>
        <w:spacing w:line="259" w:lineRule="auto"/>
      </w:pPr>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Notification as ‘Financial Institution’ under Section 2(1)(m)(iv) of Securitisation and Reconstruction of Financial Assets and Enforcement of Security Interest Act, 2002 (SARFAESI Act)</w:t>
      </w:r>
    </w:p>
    <w:p w:rsidR="00865669" w:rsidRDefault="00865669" w:rsidP="00865669">
      <w:r>
        <w:t>RBI/2021-22/91</w:t>
      </w:r>
      <w:r>
        <w:br/>
        <w:t>DOR.FIN.REC.No.41/03.10.136/2021-22</w:t>
      </w:r>
    </w:p>
    <w:p w:rsidR="00865669" w:rsidRDefault="00865669" w:rsidP="00865669">
      <w:r>
        <w:t>August 25, 2021</w:t>
      </w:r>
    </w:p>
    <w:p w:rsidR="00865669" w:rsidRDefault="00865669" w:rsidP="00865669">
      <w:r>
        <w:t>All Housing Finance Companies (HFCs)</w:t>
      </w:r>
    </w:p>
    <w:p w:rsidR="00865669" w:rsidRDefault="00865669" w:rsidP="00865669">
      <w:r>
        <w:t>Dear Sir/ Madam,</w:t>
      </w:r>
    </w:p>
    <w:p w:rsidR="00865669" w:rsidRDefault="00865669" w:rsidP="00865669">
      <w:pPr>
        <w:rPr>
          <w:b/>
          <w:bCs/>
        </w:rPr>
      </w:pPr>
      <w:r>
        <w:rPr>
          <w:b/>
          <w:bCs/>
        </w:rPr>
        <w:t>Notification as ‘Financial Institution’ under Section 2(1)(m)(iv) of Securitisation and Reconstruction of Financial Assets and Enforcement of Security Interest Act, 2002 (SARFAESI Act)</w:t>
      </w:r>
    </w:p>
    <w:p w:rsidR="00865669" w:rsidRDefault="00865669" w:rsidP="00865669">
      <w:r>
        <w:t>Please refer to Para 105 of </w:t>
      </w:r>
      <w:hyperlink r:id="rId48" w:tgtFrame="_blank" w:history="1">
        <w:r>
          <w:rPr>
            <w:rStyle w:val="Hyperlink"/>
          </w:rPr>
          <w:t>Master Direction – Non-Banking Financial Company – Housing Finance Company (Reserve Bank) Directions, 2021</w:t>
        </w:r>
      </w:hyperlink>
      <w:r>
        <w:t> wherein certain criteria have been prescribed for notification of HFCs as ‘Financial Institution’ under Section 2(1)(m)(iv) of the SARFAESI Act.</w:t>
      </w:r>
    </w:p>
    <w:p w:rsidR="00865669" w:rsidRDefault="00865669" w:rsidP="00865669">
      <w:r>
        <w:t>2. In this connection, Government of India (</w:t>
      </w:r>
      <w:proofErr w:type="spellStart"/>
      <w:r>
        <w:t>GoI</w:t>
      </w:r>
      <w:proofErr w:type="spellEnd"/>
      <w:r>
        <w:t>) has, vide its Gazette Notification No. S.O. 2405(E) dated June 17, 2021 notified the HFCs registered under Section 29</w:t>
      </w:r>
      <w:proofErr w:type="gramStart"/>
      <w:r>
        <w:t>A(</w:t>
      </w:r>
      <w:proofErr w:type="gramEnd"/>
      <w:r>
        <w:t xml:space="preserve">5) of National Housing Bank Act, 1987 and having assets worth ₹100 crore &amp; above, as ‘Financial Institution’ under Section 2(1)(m)(iv) of SARFAESI Act, 2002. In view of revision of the criteria for notification as ‘Financial Institution’ as per the abovementioned Gazette notification of </w:t>
      </w:r>
      <w:proofErr w:type="spellStart"/>
      <w:r>
        <w:t>GoI</w:t>
      </w:r>
      <w:proofErr w:type="spellEnd"/>
      <w:r>
        <w:t>, the criteria prescribed under Para 105 of the aforesaid Master Direction are withdrawn with immediate effect.</w:t>
      </w:r>
    </w:p>
    <w:p w:rsidR="00865669" w:rsidRDefault="00865669" w:rsidP="00865669">
      <w:r>
        <w:t>3. The </w:t>
      </w:r>
      <w:hyperlink r:id="rId49" w:tgtFrame="_blank" w:history="1">
        <w:r>
          <w:rPr>
            <w:rStyle w:val="Hyperlink"/>
          </w:rPr>
          <w:t>Master Direction – Non-Banking Financial Company – Housing Finance Company (Reserve Bank) Directions, 2021</w:t>
        </w:r>
      </w:hyperlink>
      <w:r>
        <w:t> is being modified accordingly.</w:t>
      </w:r>
    </w:p>
    <w:p w:rsidR="00865669" w:rsidRDefault="00865669" w:rsidP="00865669">
      <w:r>
        <w:t>Yours faithfully,</w:t>
      </w:r>
    </w:p>
    <w:p w:rsidR="00865669" w:rsidRDefault="00865669" w:rsidP="00865669">
      <w:r>
        <w:t>(J.P. Sharma)</w:t>
      </w:r>
      <w:r>
        <w:br/>
        <w:t>Chief General Manager</w:t>
      </w:r>
    </w:p>
    <w:p w:rsidR="00865669" w:rsidRDefault="00865669" w:rsidP="00865669">
      <w:r>
        <w:t xml:space="preserve">Reference link: </w:t>
      </w:r>
      <w:hyperlink r:id="rId50" w:history="1">
        <w:r>
          <w:rPr>
            <w:rStyle w:val="Hyperlink"/>
          </w:rPr>
          <w:t>https://www.rbi.org.in/Scripts/NotificationUser.aspx?Id=12151&amp;Mode=0</w:t>
        </w:r>
      </w:hyperlink>
    </w:p>
    <w:p w:rsidR="00865669" w:rsidRDefault="00865669" w:rsidP="00865669"/>
    <w:p w:rsidR="00865669" w:rsidRDefault="00865669"/>
    <w:p w:rsidR="00865669" w:rsidRDefault="00865669">
      <w:pPr>
        <w:spacing w:line="259" w:lineRule="auto"/>
      </w:pPr>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Resolution Framework for COVID-19-related Stress – Financial Parameters – Revised timelines for compliance</w:t>
      </w:r>
    </w:p>
    <w:p w:rsidR="00865669" w:rsidRDefault="00865669" w:rsidP="00865669">
      <w:r>
        <w:t>RBI/2021-22/80</w:t>
      </w:r>
      <w:r>
        <w:br/>
        <w:t>DOR.STR.REC.38/21.04.048/2021-22</w:t>
      </w:r>
    </w:p>
    <w:p w:rsidR="00865669" w:rsidRDefault="00865669" w:rsidP="00865669">
      <w:r>
        <w:t>August 6, 2021</w:t>
      </w:r>
    </w:p>
    <w:p w:rsidR="00865669" w:rsidRDefault="00865669" w:rsidP="00865669">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865669" w:rsidRDefault="00865669" w:rsidP="00865669">
      <w:r>
        <w:t>Madam / Dear Sir,</w:t>
      </w:r>
    </w:p>
    <w:p w:rsidR="00865669" w:rsidRDefault="00865669" w:rsidP="00865669">
      <w:pPr>
        <w:rPr>
          <w:b/>
          <w:bCs/>
        </w:rPr>
      </w:pPr>
      <w:r>
        <w:rPr>
          <w:b/>
          <w:bCs/>
        </w:rPr>
        <w:t>Resolution Framework for COVID-19-related Stress – Financial Parameters – Revised timelines for compliance</w:t>
      </w:r>
    </w:p>
    <w:p w:rsidR="00865669" w:rsidRDefault="00865669" w:rsidP="00865669">
      <w:r>
        <w:t>Please refer to the </w:t>
      </w:r>
      <w:hyperlink r:id="rId51" w:tgtFrame="_blank" w:history="1">
        <w:r>
          <w:rPr>
            <w:rStyle w:val="Hyperlink"/>
          </w:rPr>
          <w:t xml:space="preserve">circular </w:t>
        </w:r>
        <w:proofErr w:type="spellStart"/>
        <w:r>
          <w:rPr>
            <w:rStyle w:val="Hyperlink"/>
          </w:rPr>
          <w:t>DOR.No.BP.BC</w:t>
        </w:r>
        <w:proofErr w:type="spellEnd"/>
        <w:r>
          <w:rPr>
            <w:rStyle w:val="Hyperlink"/>
          </w:rPr>
          <w:t>/13/21.04.048/2020-21 dated September 7, 2020</w:t>
        </w:r>
      </w:hyperlink>
      <w:r>
        <w:t> inter alia advising the key ratios and their sector specific thresholds to be considered by lending institutions while finalising the resolution plans in respect of eligible borrowers under Part B of the Annex to the </w:t>
      </w:r>
      <w:hyperlink r:id="rId52" w:tgtFrame="_blank" w:history="1">
        <w:r>
          <w:rPr>
            <w:rStyle w:val="Hyperlink"/>
          </w:rPr>
          <w:t>Resolution Framework for Covid-19 related stress issued on August 6, 2020</w:t>
        </w:r>
      </w:hyperlink>
      <w:r>
        <w:t>.</w:t>
      </w:r>
    </w:p>
    <w:p w:rsidR="00865669" w:rsidRDefault="00865669" w:rsidP="00865669">
      <w:r>
        <w:t>2. The key ratios consisted of four operational ratios, viz., Total Debt / EBITDA, Current Ratio, Debt Service Coverage Ratio (DSCR) and Average Debt Service Coverage Ratio (ADSCR), along with the ratio Total Outside Liabilities / Adjusted Tangible Net Worth (TOL/ATNW) representing the debt-equity mix of the borrower post implementation of the resolution plan.</w:t>
      </w:r>
    </w:p>
    <w:p w:rsidR="00865669" w:rsidRDefault="00865669" w:rsidP="00865669">
      <w:r>
        <w:t>3. In view of the resurgence of the Covid-19 pandemic in 2021 and recognising the difficulties it may pose for the borrowers in meeting the operational parameters, it has been decided to defer the target date for meeting the specified thresholds in respect of the four operational parameters, viz. Total Debt / EBIDTA, Current Ratio, DSCR and ADSCR, to October 1, 2022.</w:t>
      </w:r>
    </w:p>
    <w:p w:rsidR="00865669" w:rsidRDefault="00865669" w:rsidP="00865669">
      <w:r>
        <w:t>4. The target date for achieving the ratio TOL/ATNW, as crystallised in terms of the resolution plan, shall remain unchanged as March 31, 2022.</w:t>
      </w:r>
    </w:p>
    <w:p w:rsidR="00865669" w:rsidRDefault="00865669" w:rsidP="00865669">
      <w:r>
        <w:t>Yours faithfully,</w:t>
      </w:r>
    </w:p>
    <w:p w:rsidR="00865669" w:rsidRDefault="00865669" w:rsidP="00865669">
      <w:r>
        <w:t>(</w:t>
      </w:r>
      <w:proofErr w:type="spellStart"/>
      <w:r>
        <w:t>Manoranjan</w:t>
      </w:r>
      <w:proofErr w:type="spellEnd"/>
      <w:r>
        <w:t xml:space="preserve"> Mishra)</w:t>
      </w:r>
      <w:r>
        <w:br/>
        <w:t>Chief General Manager</w:t>
      </w:r>
    </w:p>
    <w:p w:rsidR="00865669" w:rsidRDefault="00865669" w:rsidP="00865669">
      <w:r>
        <w:t xml:space="preserve">Reference link: </w:t>
      </w:r>
      <w:hyperlink r:id="rId53" w:history="1">
        <w:r>
          <w:rPr>
            <w:rStyle w:val="Hyperlink"/>
          </w:rPr>
          <w:t>https://www.rbi.org.in/Scripts/NotificationUser.aspx?Id=12140&amp;Mode=0</w:t>
        </w:r>
      </w:hyperlink>
    </w:p>
    <w:p w:rsidR="00865669" w:rsidRDefault="00865669"/>
    <w:p w:rsidR="00865669" w:rsidRDefault="00865669">
      <w:pPr>
        <w:spacing w:line="259" w:lineRule="auto"/>
      </w:pPr>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Loans and Advances – Regulatory Restrictions</w:t>
      </w:r>
    </w:p>
    <w:p w:rsidR="00865669" w:rsidRDefault="00865669" w:rsidP="00865669">
      <w:r>
        <w:t>RBI/2021-22/72</w:t>
      </w:r>
      <w:r>
        <w:br/>
        <w:t>DOR.CRE.REC.No.33/13.03.00/2021-22</w:t>
      </w:r>
    </w:p>
    <w:p w:rsidR="00865669" w:rsidRDefault="00865669" w:rsidP="00865669">
      <w:r>
        <w:t>July 23, 2021</w:t>
      </w:r>
    </w:p>
    <w:p w:rsidR="00865669" w:rsidRDefault="00865669" w:rsidP="00865669">
      <w:r>
        <w:t>All Scheduled Commercial Banks (excluding RRBs)</w:t>
      </w:r>
      <w:r>
        <w:br/>
        <w:t>All Small Finance Banks</w:t>
      </w:r>
      <w:r>
        <w:br/>
        <w:t>All Local Area Banks</w:t>
      </w:r>
    </w:p>
    <w:p w:rsidR="00865669" w:rsidRDefault="00865669" w:rsidP="00865669">
      <w:r>
        <w:t>Madam / Dear Sir,</w:t>
      </w:r>
    </w:p>
    <w:p w:rsidR="00865669" w:rsidRDefault="00865669" w:rsidP="00865669">
      <w:pPr>
        <w:rPr>
          <w:b/>
          <w:bCs/>
        </w:rPr>
      </w:pPr>
      <w:r>
        <w:rPr>
          <w:b/>
          <w:bCs/>
        </w:rPr>
        <w:t>Loans and Advances – Regulatory Restrictions</w:t>
      </w:r>
    </w:p>
    <w:p w:rsidR="00865669" w:rsidRDefault="00865669" w:rsidP="00865669">
      <w:r>
        <w:t>Please refer to paragraphs 2.2.1.2, 2.2.1.4 and paragraph 2.2.1.5 of </w:t>
      </w:r>
      <w:hyperlink r:id="rId54" w:tgtFrame="_blank" w:history="1">
        <w:r>
          <w:rPr>
            <w:rStyle w:val="Hyperlink"/>
          </w:rPr>
          <w:t>Master Circular on Loans and Advances - Statutory and Other Restrictions dated July 01, 2015</w:t>
        </w:r>
      </w:hyperlink>
      <w:r>
        <w:t>.</w:t>
      </w:r>
    </w:p>
    <w:p w:rsidR="00865669" w:rsidRDefault="00865669" w:rsidP="00865669">
      <w:r>
        <w:t>2. On a review, it has been decided that</w:t>
      </w:r>
    </w:p>
    <w:p w:rsidR="00865669" w:rsidRDefault="00865669" w:rsidP="00865669">
      <w:proofErr w:type="spellStart"/>
      <w:r>
        <w:t>i</w:t>
      </w:r>
      <w:proofErr w:type="spellEnd"/>
      <w:r>
        <w:t>) For personal loans granted to any director of other banks, the threshold of Rupees twenty-five lakh, as mentioned in para 2.2.1.2, stands revised to Rupees five crore.</w:t>
      </w:r>
    </w:p>
    <w:p w:rsidR="00865669" w:rsidRDefault="00865669" w:rsidP="00865669">
      <w:r>
        <w:t>ii) Paragraph 2.2.1.4 has been revised as under –</w:t>
      </w:r>
    </w:p>
    <w:p w:rsidR="00865669" w:rsidRDefault="00865669" w:rsidP="00865669">
      <w:r>
        <w:t>Unless sanctioned by the Board of Directors/Management Committee, banks should not grant loans and advances aggregating Rupees five crore and above to -</w:t>
      </w:r>
    </w:p>
    <w:p w:rsidR="00865669" w:rsidRDefault="00865669" w:rsidP="00865669">
      <w:r>
        <w:t>(a) any relative other than spouse (spouse as specified in para 2.2.1.3 above) and minor / dependent children of their own Chairmen/Managing Directors or other Directors;</w:t>
      </w:r>
    </w:p>
    <w:p w:rsidR="00865669" w:rsidRDefault="00865669" w:rsidP="00865669">
      <w:r>
        <w:t>(b) any relative other than spouse (spouse as specified in para 2.2.1.3 above) and minor / dependent children of the Chairman/Managing Director or other directors of other banks*;</w:t>
      </w:r>
    </w:p>
    <w:p w:rsidR="00865669" w:rsidRDefault="00865669" w:rsidP="00865669">
      <w:r>
        <w:t>(c) any firm in which any of the relatives other than spouse (spouse as specified in para 2.2.1.3 above) and minor / dependent children as mentioned in (a) &amp; (b) above is interested as a partner or guarantor; and</w:t>
      </w:r>
    </w:p>
    <w:p w:rsidR="00865669" w:rsidRDefault="00865669" w:rsidP="00865669">
      <w:r>
        <w:t>(d) any company in which any of the relatives other than spouse (spouse as specified in para 2.2.1.3 above) and minor / dependent children as mentioned in (a) &amp; (b) above is interested as a major shareholder or as a director or as a guarantor or is in control.</w:t>
      </w:r>
    </w:p>
    <w:p w:rsidR="00865669" w:rsidRDefault="00865669" w:rsidP="00865669">
      <w:r>
        <w:t>Provided that a relative of a director shall also be deemed to be interested in a company, being the subsidiary or holding company, if he/she is a major shareholder or is in control of the respective holding or subsidiary company.</w:t>
      </w:r>
    </w:p>
    <w:p w:rsidR="00865669" w:rsidRDefault="00865669" w:rsidP="00865669">
      <w:r>
        <w:t>*including directors of Scheduled Co-operative Banks, directors of subsidiaries/trustees of mutual funds/venture capital funds.</w:t>
      </w:r>
    </w:p>
    <w:p w:rsidR="00865669" w:rsidRDefault="00865669" w:rsidP="00865669">
      <w:r>
        <w:t>iii) Paragraph 2.2.1.5 has been revised as under -</w:t>
      </w:r>
    </w:p>
    <w:p w:rsidR="00865669" w:rsidRDefault="00865669" w:rsidP="00865669">
      <w:r>
        <w:t>The proposals for credit facilities of an amount less than Rupees twenty-five lakh or Rupees five crores (as the case may be) to these borrowers may be sanctioned by the appropriate authority in the financing bank under powers vested in such authority, but the matter should be reported to the Board.</w:t>
      </w:r>
    </w:p>
    <w:p w:rsidR="00865669" w:rsidRDefault="00865669" w:rsidP="00865669">
      <w:r>
        <w:t xml:space="preserve">Reference link: </w:t>
      </w:r>
      <w:hyperlink r:id="rId55" w:history="1">
        <w:r>
          <w:rPr>
            <w:rStyle w:val="Hyperlink"/>
          </w:rPr>
          <w:t>https://www.rbi.org.in/Scripts/NotificationUser.aspx?Id=12132&amp;Mode=0</w:t>
        </w:r>
      </w:hyperlink>
    </w:p>
    <w:p w:rsidR="00865669" w:rsidRPr="00865669" w:rsidRDefault="00865669" w:rsidP="00865669">
      <w:r>
        <w:rPr>
          <w:rFonts w:ascii="Arial" w:hAnsi="Arial" w:cs="Arial"/>
          <w:b/>
          <w:bCs/>
          <w:color w:val="000000"/>
          <w:sz w:val="20"/>
          <w:szCs w:val="20"/>
        </w:rPr>
        <w:lastRenderedPageBreak/>
        <w:t>Master Direction - Reserve Bank of India [Cash Reserve Ratio (CRR) and Statutory Liquidity Ratio (SLR)] Directions – 2021</w:t>
      </w:r>
    </w:p>
    <w:p w:rsidR="00865669" w:rsidRDefault="00865669" w:rsidP="00865669">
      <w:r>
        <w:t>RBI/DOR/2021-22/80</w:t>
      </w:r>
      <w:r>
        <w:br/>
        <w:t>DOR.No.RET.REC.32/12.01.001/2021-22</w:t>
      </w:r>
    </w:p>
    <w:p w:rsidR="00865669" w:rsidRDefault="00865669" w:rsidP="00865669">
      <w:r>
        <w:t>July 20, 2021</w:t>
      </w:r>
    </w:p>
    <w:p w:rsidR="00865669" w:rsidRDefault="00865669" w:rsidP="00865669">
      <w:pPr>
        <w:rPr>
          <w:b/>
          <w:bCs/>
        </w:rPr>
      </w:pPr>
      <w:r>
        <w:rPr>
          <w:b/>
          <w:bCs/>
        </w:rPr>
        <w:t>Master Direction - Reserve Bank of India</w:t>
      </w:r>
      <w:r>
        <w:rPr>
          <w:b/>
          <w:bCs/>
        </w:rPr>
        <w:br/>
        <w:t>[Cash Reserve Ratio (CRR) and Statutory Liquidity Ratio (SLR)] Directions - 2021</w:t>
      </w:r>
    </w:p>
    <w:p w:rsidR="00865669" w:rsidRDefault="00865669" w:rsidP="00865669">
      <w:r>
        <w:t xml:space="preserve">In exercise of the powers conferred by Section 35 A of the Banking Regulation Act, 1949 and pursuant to Section 42 of the Reserve Bank of India Act, 1934 and Sections 18, 24 and 56 of the Banking Regulation Act, 1949 as amended from time to time, the Reserve Bank of India being satisfied that it is necessary and expedient in the public interest so to do, hereby, issues the Directions hereinafter specified. </w:t>
      </w:r>
    </w:p>
    <w:p w:rsidR="00865669" w:rsidRDefault="00865669" w:rsidP="00865669">
      <w:r>
        <w:t>The direction details on the following:</w:t>
      </w:r>
    </w:p>
    <w:p w:rsidR="00865669" w:rsidRDefault="00865669" w:rsidP="00865669">
      <w:pPr>
        <w:rPr>
          <w:b/>
          <w:bCs/>
        </w:rPr>
      </w:pPr>
      <w:r>
        <w:rPr>
          <w:b/>
          <w:bCs/>
        </w:rPr>
        <w:t>CHAPTER – I - PRELIMINARY</w:t>
      </w:r>
    </w:p>
    <w:p w:rsidR="00865669" w:rsidRDefault="00865669" w:rsidP="00865669">
      <w:pPr>
        <w:rPr>
          <w:b/>
          <w:bCs/>
        </w:rPr>
      </w:pPr>
      <w:r>
        <w:rPr>
          <w:b/>
          <w:bCs/>
        </w:rPr>
        <w:t>CHAPTER – II - APPLICABILITY</w:t>
      </w:r>
    </w:p>
    <w:p w:rsidR="00865669" w:rsidRDefault="00865669" w:rsidP="00865669">
      <w:pPr>
        <w:rPr>
          <w:b/>
          <w:bCs/>
        </w:rPr>
      </w:pPr>
      <w:r>
        <w:rPr>
          <w:b/>
          <w:bCs/>
        </w:rPr>
        <w:t>CHAPTER – III - DEFINITIONS</w:t>
      </w:r>
    </w:p>
    <w:p w:rsidR="00865669" w:rsidRDefault="00865669" w:rsidP="00865669">
      <w:pPr>
        <w:rPr>
          <w:b/>
          <w:bCs/>
        </w:rPr>
      </w:pPr>
      <w:r>
        <w:rPr>
          <w:b/>
          <w:bCs/>
        </w:rPr>
        <w:t>CHAPTER – IV - CASH RESERVE RATIO (CRR)</w:t>
      </w:r>
    </w:p>
    <w:p w:rsidR="00865669" w:rsidRDefault="00865669" w:rsidP="00865669">
      <w:pPr>
        <w:rPr>
          <w:b/>
          <w:bCs/>
        </w:rPr>
      </w:pPr>
      <w:r>
        <w:rPr>
          <w:b/>
          <w:bCs/>
        </w:rPr>
        <w:t>CHAPTER – V - STATUTORY LIQUIDITY RATIO (SLR)</w:t>
      </w:r>
    </w:p>
    <w:p w:rsidR="00865669" w:rsidRDefault="00865669" w:rsidP="00865669">
      <w:pPr>
        <w:rPr>
          <w:b/>
          <w:bCs/>
        </w:rPr>
      </w:pPr>
      <w:r>
        <w:rPr>
          <w:b/>
          <w:bCs/>
        </w:rPr>
        <w:t>CHAPTER – VI - PROCEDURE FOR COMPUTATION OF SLR</w:t>
      </w:r>
    </w:p>
    <w:p w:rsidR="00865669" w:rsidRDefault="00865669" w:rsidP="00865669">
      <w:pPr>
        <w:rPr>
          <w:b/>
          <w:bCs/>
        </w:rPr>
      </w:pPr>
      <w:r>
        <w:rPr>
          <w:b/>
          <w:bCs/>
        </w:rPr>
        <w:t>CHAPTER – VII REPORTING - FORTNIGHTLY CRR RETURN IN FORM A / FORM B/ FORM I</w:t>
      </w:r>
    </w:p>
    <w:p w:rsidR="00865669" w:rsidRDefault="00865669" w:rsidP="00865669">
      <w:pPr>
        <w:rPr>
          <w:b/>
          <w:bCs/>
        </w:rPr>
      </w:pPr>
      <w:r>
        <w:rPr>
          <w:b/>
          <w:bCs/>
        </w:rPr>
        <w:t>CHAPTER – VIII - PENALTIES</w:t>
      </w:r>
    </w:p>
    <w:p w:rsidR="00865669" w:rsidRDefault="00865669" w:rsidP="00865669">
      <w:pPr>
        <w:rPr>
          <w:b/>
          <w:bCs/>
        </w:rPr>
      </w:pPr>
      <w:r>
        <w:rPr>
          <w:b/>
          <w:bCs/>
        </w:rPr>
        <w:t>CHAPTER – IX - REPEAL AND OTHER PROVISIONS</w:t>
      </w:r>
    </w:p>
    <w:p w:rsidR="00865669" w:rsidRDefault="00865669" w:rsidP="00865669"/>
    <w:p w:rsidR="00865669" w:rsidRDefault="00865669" w:rsidP="00865669">
      <w:r>
        <w:t>Details under each of the above chapters can be read from the below link</w:t>
      </w:r>
    </w:p>
    <w:p w:rsidR="00865669" w:rsidRDefault="00865669" w:rsidP="00865669">
      <w:r>
        <w:t xml:space="preserve">Reference link: </w:t>
      </w:r>
      <w:hyperlink r:id="rId56" w:history="1">
        <w:r>
          <w:rPr>
            <w:rStyle w:val="Hyperlink"/>
          </w:rPr>
          <w:t>https://www.rbi.org.in/Scripts/NotificationUser.aspx?Id=12131&amp;Mode=0</w:t>
        </w:r>
      </w:hyperlink>
    </w:p>
    <w:p w:rsidR="00865669" w:rsidRDefault="00865669" w:rsidP="00865669"/>
    <w:p w:rsidR="00865669" w:rsidRDefault="00865669"/>
    <w:p w:rsidR="00865669" w:rsidRDefault="00865669">
      <w:pPr>
        <w:spacing w:line="259" w:lineRule="auto"/>
      </w:pPr>
      <w:r>
        <w:br w:type="page"/>
      </w:r>
    </w:p>
    <w:p w:rsidR="00865669" w:rsidRDefault="00865669" w:rsidP="00865669">
      <w:pPr>
        <w:rPr>
          <w:rFonts w:ascii="Arial" w:hAnsi="Arial" w:cs="Arial"/>
          <w:b/>
          <w:bCs/>
          <w:color w:val="000000"/>
          <w:sz w:val="20"/>
          <w:szCs w:val="20"/>
        </w:rPr>
      </w:pPr>
      <w:r>
        <w:rPr>
          <w:rFonts w:ascii="Arial" w:hAnsi="Arial" w:cs="Arial"/>
          <w:b/>
          <w:bCs/>
          <w:color w:val="000000"/>
          <w:sz w:val="20"/>
          <w:szCs w:val="20"/>
        </w:rPr>
        <w:lastRenderedPageBreak/>
        <w:t>Review of Instructions on Interest on overdue domestic deposits</w:t>
      </w:r>
    </w:p>
    <w:p w:rsidR="00865669" w:rsidRDefault="00865669" w:rsidP="00865669">
      <w:r>
        <w:t>RBI/2021-22/66</w:t>
      </w:r>
      <w:r>
        <w:br/>
        <w:t>DoR.SPE.REC.29/13.03.00/2021-2022</w:t>
      </w:r>
    </w:p>
    <w:p w:rsidR="00865669" w:rsidRDefault="00865669" w:rsidP="00865669">
      <w:r>
        <w:t>July 02, 2021</w:t>
      </w:r>
    </w:p>
    <w:p w:rsidR="00865669" w:rsidRDefault="00865669" w:rsidP="00865669">
      <w:r>
        <w:t>All Scheduled Commercial Banks (including RRBs)</w:t>
      </w:r>
      <w:r>
        <w:br/>
        <w:t>All Small Finance Banks</w:t>
      </w:r>
      <w:r>
        <w:br/>
        <w:t>All Local Area Banks</w:t>
      </w:r>
      <w:r>
        <w:br/>
        <w:t>All Primary (Urban) Co-operative Banks/ District Central Co-operative Banks/ State Co-operative Banks</w:t>
      </w:r>
    </w:p>
    <w:p w:rsidR="00865669" w:rsidRDefault="00865669" w:rsidP="00865669">
      <w:r>
        <w:t>Dear Sir / Madam,</w:t>
      </w:r>
    </w:p>
    <w:p w:rsidR="00865669" w:rsidRDefault="00865669" w:rsidP="00865669">
      <w:pPr>
        <w:rPr>
          <w:b/>
          <w:bCs/>
        </w:rPr>
      </w:pPr>
      <w:r>
        <w:rPr>
          <w:b/>
          <w:bCs/>
        </w:rPr>
        <w:t>Review of Instructions on Interest on overdue domestic deposits</w:t>
      </w:r>
    </w:p>
    <w:p w:rsidR="00865669" w:rsidRDefault="00865669" w:rsidP="00865669">
      <w:r>
        <w:t>Please refer to Section 9 (b) of </w:t>
      </w:r>
      <w:hyperlink r:id="rId57" w:tgtFrame="_blank" w:history="1">
        <w:r>
          <w:rPr>
            <w:rStyle w:val="Hyperlink"/>
          </w:rPr>
          <w:t>Master Direction - Reserve Bank of India (Interest Rate on Deposits) Directions, 2016 dated March 3, 2016</w:t>
        </w:r>
      </w:hyperlink>
      <w:r>
        <w:t>, and the </w:t>
      </w:r>
      <w:hyperlink r:id="rId58" w:tgtFrame="_blank" w:history="1">
        <w:r>
          <w:rPr>
            <w:rStyle w:val="Hyperlink"/>
          </w:rPr>
          <w:t>Master Direction - Reserve Bank of India (Co-operative Banks - Interest Rate on Deposits) Directions, 2016 dated May 12, 2016</w:t>
        </w:r>
      </w:hyperlink>
      <w:r>
        <w:t> in terms of which if a Term Deposit matures and proceeds are unpaid, the amount left unclaimed with the bank shall attract rate of interest as applicable to savings deposits.</w:t>
      </w:r>
    </w:p>
    <w:p w:rsidR="00865669" w:rsidRDefault="00865669" w:rsidP="00865669">
      <w:r>
        <w:t>2. On a review of these instructions, it has been decided that if a Term Deposit (TD) matures and proceeds are unpaid, the amount left unclaimed with the bank shall attract rate of interest as applicable to savings account or the contracted rate of interest on the matured TD, whichever is lower.</w:t>
      </w:r>
    </w:p>
    <w:p w:rsidR="00865669" w:rsidRDefault="00865669" w:rsidP="00865669">
      <w:r>
        <w:t>3. The relevant section of Master Directions are amended accordingly as indicated in the </w:t>
      </w:r>
      <w:hyperlink r:id="rId59" w:anchor="AN1" w:history="1">
        <w:r>
          <w:rPr>
            <w:rStyle w:val="Hyperlink"/>
          </w:rPr>
          <w:t>Annex</w:t>
        </w:r>
      </w:hyperlink>
      <w:r>
        <w:t>.</w:t>
      </w:r>
    </w:p>
    <w:p w:rsidR="00865669" w:rsidRDefault="00865669" w:rsidP="00865669">
      <w:r>
        <w:t>Yours faithfully,</w:t>
      </w:r>
    </w:p>
    <w:p w:rsidR="00865669" w:rsidRDefault="00865669" w:rsidP="00865669">
      <w:r>
        <w:t>(Thomas Mathew)</w:t>
      </w:r>
      <w:r>
        <w:br/>
        <w:t>Chief General Manager</w:t>
      </w:r>
    </w:p>
    <w:p w:rsidR="00865669" w:rsidRDefault="00865669" w:rsidP="00865669">
      <w:r>
        <w:t xml:space="preserve">Reference link: </w:t>
      </w:r>
      <w:hyperlink r:id="rId60" w:history="1">
        <w:r>
          <w:rPr>
            <w:rStyle w:val="Hyperlink"/>
          </w:rPr>
          <w:t>https://www.rbi.org.in/Scripts/NotificationUser.aspx?Id=12125&amp;Mode=0</w:t>
        </w:r>
      </w:hyperlink>
    </w:p>
    <w:p w:rsidR="00E067C2" w:rsidRDefault="00E067C2"/>
    <w:sectPr w:rsidR="00E06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D5A46"/>
    <w:multiLevelType w:val="multilevel"/>
    <w:tmpl w:val="08BA30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69"/>
    <w:rsid w:val="00865669"/>
    <w:rsid w:val="00E067C2"/>
    <w:rsid w:val="00EA4033"/>
    <w:rsid w:val="00FA12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194A"/>
  <w15:chartTrackingRefBased/>
  <w15:docId w15:val="{A4D41EFF-6FD6-4A1D-B008-815CFCC5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669"/>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5669"/>
    <w:rPr>
      <w:color w:val="0563C1" w:themeColor="hyperlink"/>
      <w:u w:val="single"/>
    </w:rPr>
  </w:style>
  <w:style w:type="table" w:styleId="TableGrid">
    <w:name w:val="Table Grid"/>
    <w:basedOn w:val="TableNormal"/>
    <w:uiPriority w:val="39"/>
    <w:rsid w:val="00EA4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8144">
      <w:bodyDiv w:val="1"/>
      <w:marLeft w:val="0"/>
      <w:marRight w:val="0"/>
      <w:marTop w:val="0"/>
      <w:marBottom w:val="0"/>
      <w:divBdr>
        <w:top w:val="none" w:sz="0" w:space="0" w:color="auto"/>
        <w:left w:val="none" w:sz="0" w:space="0" w:color="auto"/>
        <w:bottom w:val="none" w:sz="0" w:space="0" w:color="auto"/>
        <w:right w:val="none" w:sz="0" w:space="0" w:color="auto"/>
      </w:divBdr>
    </w:div>
    <w:div w:id="310906780">
      <w:bodyDiv w:val="1"/>
      <w:marLeft w:val="0"/>
      <w:marRight w:val="0"/>
      <w:marTop w:val="0"/>
      <w:marBottom w:val="0"/>
      <w:divBdr>
        <w:top w:val="none" w:sz="0" w:space="0" w:color="auto"/>
        <w:left w:val="none" w:sz="0" w:space="0" w:color="auto"/>
        <w:bottom w:val="none" w:sz="0" w:space="0" w:color="auto"/>
        <w:right w:val="none" w:sz="0" w:space="0" w:color="auto"/>
      </w:divBdr>
    </w:div>
    <w:div w:id="321932661">
      <w:bodyDiv w:val="1"/>
      <w:marLeft w:val="0"/>
      <w:marRight w:val="0"/>
      <w:marTop w:val="0"/>
      <w:marBottom w:val="0"/>
      <w:divBdr>
        <w:top w:val="none" w:sz="0" w:space="0" w:color="auto"/>
        <w:left w:val="none" w:sz="0" w:space="0" w:color="auto"/>
        <w:bottom w:val="none" w:sz="0" w:space="0" w:color="auto"/>
        <w:right w:val="none" w:sz="0" w:space="0" w:color="auto"/>
      </w:divBdr>
    </w:div>
    <w:div w:id="580411179">
      <w:bodyDiv w:val="1"/>
      <w:marLeft w:val="0"/>
      <w:marRight w:val="0"/>
      <w:marTop w:val="0"/>
      <w:marBottom w:val="0"/>
      <w:divBdr>
        <w:top w:val="none" w:sz="0" w:space="0" w:color="auto"/>
        <w:left w:val="none" w:sz="0" w:space="0" w:color="auto"/>
        <w:bottom w:val="none" w:sz="0" w:space="0" w:color="auto"/>
        <w:right w:val="none" w:sz="0" w:space="0" w:color="auto"/>
      </w:divBdr>
    </w:div>
    <w:div w:id="603924388">
      <w:bodyDiv w:val="1"/>
      <w:marLeft w:val="0"/>
      <w:marRight w:val="0"/>
      <w:marTop w:val="0"/>
      <w:marBottom w:val="0"/>
      <w:divBdr>
        <w:top w:val="none" w:sz="0" w:space="0" w:color="auto"/>
        <w:left w:val="none" w:sz="0" w:space="0" w:color="auto"/>
        <w:bottom w:val="none" w:sz="0" w:space="0" w:color="auto"/>
        <w:right w:val="none" w:sz="0" w:space="0" w:color="auto"/>
      </w:divBdr>
    </w:div>
    <w:div w:id="692268683">
      <w:bodyDiv w:val="1"/>
      <w:marLeft w:val="0"/>
      <w:marRight w:val="0"/>
      <w:marTop w:val="0"/>
      <w:marBottom w:val="0"/>
      <w:divBdr>
        <w:top w:val="none" w:sz="0" w:space="0" w:color="auto"/>
        <w:left w:val="none" w:sz="0" w:space="0" w:color="auto"/>
        <w:bottom w:val="none" w:sz="0" w:space="0" w:color="auto"/>
        <w:right w:val="none" w:sz="0" w:space="0" w:color="auto"/>
      </w:divBdr>
    </w:div>
    <w:div w:id="1121800442">
      <w:bodyDiv w:val="1"/>
      <w:marLeft w:val="0"/>
      <w:marRight w:val="0"/>
      <w:marTop w:val="0"/>
      <w:marBottom w:val="0"/>
      <w:divBdr>
        <w:top w:val="none" w:sz="0" w:space="0" w:color="auto"/>
        <w:left w:val="none" w:sz="0" w:space="0" w:color="auto"/>
        <w:bottom w:val="none" w:sz="0" w:space="0" w:color="auto"/>
        <w:right w:val="none" w:sz="0" w:space="0" w:color="auto"/>
      </w:divBdr>
    </w:div>
    <w:div w:id="1228613439">
      <w:bodyDiv w:val="1"/>
      <w:marLeft w:val="0"/>
      <w:marRight w:val="0"/>
      <w:marTop w:val="0"/>
      <w:marBottom w:val="0"/>
      <w:divBdr>
        <w:top w:val="none" w:sz="0" w:space="0" w:color="auto"/>
        <w:left w:val="none" w:sz="0" w:space="0" w:color="auto"/>
        <w:bottom w:val="none" w:sz="0" w:space="0" w:color="auto"/>
        <w:right w:val="none" w:sz="0" w:space="0" w:color="auto"/>
      </w:divBdr>
    </w:div>
    <w:div w:id="1266422501">
      <w:bodyDiv w:val="1"/>
      <w:marLeft w:val="0"/>
      <w:marRight w:val="0"/>
      <w:marTop w:val="0"/>
      <w:marBottom w:val="0"/>
      <w:divBdr>
        <w:top w:val="none" w:sz="0" w:space="0" w:color="auto"/>
        <w:left w:val="none" w:sz="0" w:space="0" w:color="auto"/>
        <w:bottom w:val="none" w:sz="0" w:space="0" w:color="auto"/>
        <w:right w:val="none" w:sz="0" w:space="0" w:color="auto"/>
      </w:divBdr>
    </w:div>
    <w:div w:id="1361784478">
      <w:bodyDiv w:val="1"/>
      <w:marLeft w:val="0"/>
      <w:marRight w:val="0"/>
      <w:marTop w:val="0"/>
      <w:marBottom w:val="0"/>
      <w:divBdr>
        <w:top w:val="none" w:sz="0" w:space="0" w:color="auto"/>
        <w:left w:val="none" w:sz="0" w:space="0" w:color="auto"/>
        <w:bottom w:val="none" w:sz="0" w:space="0" w:color="auto"/>
        <w:right w:val="none" w:sz="0" w:space="0" w:color="auto"/>
      </w:divBdr>
    </w:div>
    <w:div w:id="1490366736">
      <w:bodyDiv w:val="1"/>
      <w:marLeft w:val="0"/>
      <w:marRight w:val="0"/>
      <w:marTop w:val="0"/>
      <w:marBottom w:val="0"/>
      <w:divBdr>
        <w:top w:val="none" w:sz="0" w:space="0" w:color="auto"/>
        <w:left w:val="none" w:sz="0" w:space="0" w:color="auto"/>
        <w:bottom w:val="none" w:sz="0" w:space="0" w:color="auto"/>
        <w:right w:val="none" w:sz="0" w:space="0" w:color="auto"/>
      </w:divBdr>
    </w:div>
    <w:div w:id="1510949442">
      <w:bodyDiv w:val="1"/>
      <w:marLeft w:val="0"/>
      <w:marRight w:val="0"/>
      <w:marTop w:val="0"/>
      <w:marBottom w:val="0"/>
      <w:divBdr>
        <w:top w:val="none" w:sz="0" w:space="0" w:color="auto"/>
        <w:left w:val="none" w:sz="0" w:space="0" w:color="auto"/>
        <w:bottom w:val="none" w:sz="0" w:space="0" w:color="auto"/>
        <w:right w:val="none" w:sz="0" w:space="0" w:color="auto"/>
      </w:divBdr>
    </w:div>
    <w:div w:id="1544514300">
      <w:bodyDiv w:val="1"/>
      <w:marLeft w:val="0"/>
      <w:marRight w:val="0"/>
      <w:marTop w:val="0"/>
      <w:marBottom w:val="0"/>
      <w:divBdr>
        <w:top w:val="none" w:sz="0" w:space="0" w:color="auto"/>
        <w:left w:val="none" w:sz="0" w:space="0" w:color="auto"/>
        <w:bottom w:val="none" w:sz="0" w:space="0" w:color="auto"/>
        <w:right w:val="none" w:sz="0" w:space="0" w:color="auto"/>
      </w:divBdr>
    </w:div>
    <w:div w:id="1623725840">
      <w:bodyDiv w:val="1"/>
      <w:marLeft w:val="0"/>
      <w:marRight w:val="0"/>
      <w:marTop w:val="0"/>
      <w:marBottom w:val="0"/>
      <w:divBdr>
        <w:top w:val="none" w:sz="0" w:space="0" w:color="auto"/>
        <w:left w:val="none" w:sz="0" w:space="0" w:color="auto"/>
        <w:bottom w:val="none" w:sz="0" w:space="0" w:color="auto"/>
        <w:right w:val="none" w:sz="0" w:space="0" w:color="auto"/>
      </w:divBdr>
    </w:div>
    <w:div w:id="165826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205&amp;Mode=0" TargetMode="External"/><Relationship Id="rId18" Type="http://schemas.openxmlformats.org/officeDocument/2006/relationships/hyperlink" Target="https://www.rbi.org.in/Scripts/NotificationUser.aspx?Id=12185&amp;Mode=0" TargetMode="External"/><Relationship Id="rId26" Type="http://schemas.openxmlformats.org/officeDocument/2006/relationships/hyperlink" Target="https://www.rbi.org.in/Scripts/BS_ViewMasCirculardetails.aspx?id=9859" TargetMode="External"/><Relationship Id="rId39" Type="http://schemas.openxmlformats.org/officeDocument/2006/relationships/hyperlink" Target="https://www.rbi.org.in/Scripts/BS_PressReleaseDisplay.aspx?prid=49920" TargetMode="External"/><Relationship Id="rId21" Type="http://schemas.openxmlformats.org/officeDocument/2006/relationships/hyperlink" Target="https://www.rbi.org.in/Scripts/NotificationUser.aspx?Id=12182&amp;Mode=0" TargetMode="External"/><Relationship Id="rId34" Type="http://schemas.openxmlformats.org/officeDocument/2006/relationships/hyperlink" Target="https://www.rbi.org.in/Scripts/NotificationUser.aspx?Id=12171&amp;Mode=0" TargetMode="External"/><Relationship Id="rId42" Type="http://schemas.openxmlformats.org/officeDocument/2006/relationships/hyperlink" Target="https://www.rbi.org.in/Scripts/NotificationUser.aspx?Id=12158&amp;Mode=0" TargetMode="External"/><Relationship Id="rId47" Type="http://schemas.openxmlformats.org/officeDocument/2006/relationships/hyperlink" Target="https://www.rbi.org.in/Scripts/NotificationUser.aspx?Id=12153&amp;Mode=0" TargetMode="External"/><Relationship Id="rId50" Type="http://schemas.openxmlformats.org/officeDocument/2006/relationships/hyperlink" Target="https://www.rbi.org.in/Scripts/NotificationUser.aspx?Id=12151&amp;Mode=0" TargetMode="External"/><Relationship Id="rId55" Type="http://schemas.openxmlformats.org/officeDocument/2006/relationships/hyperlink" Target="https://www.rbi.org.in/Scripts/NotificationUser.aspx?Id=12132&amp;Mode=0" TargetMode="External"/><Relationship Id="rId7" Type="http://schemas.openxmlformats.org/officeDocument/2006/relationships/hyperlink" Target="https://www.rbi.org.in/Scripts/NotificationUser.aspx?Id=12142&amp;Mode=0" TargetMode="External"/><Relationship Id="rId2" Type="http://schemas.openxmlformats.org/officeDocument/2006/relationships/styles" Target="styles.xml"/><Relationship Id="rId16" Type="http://schemas.openxmlformats.org/officeDocument/2006/relationships/hyperlink" Target="https://rbi.org.in/Scripts/BS_ViewMasCirculardetails.aspx?id=9850" TargetMode="External"/><Relationship Id="rId20" Type="http://schemas.openxmlformats.org/officeDocument/2006/relationships/hyperlink" Target="https://www.rbi.org.in/Scripts/NotificationUser.aspx?Id=12182&amp;Mode=0" TargetMode="External"/><Relationship Id="rId29" Type="http://schemas.openxmlformats.org/officeDocument/2006/relationships/hyperlink" Target="https://www.rbi.org.in/Scripts/NotificationUser.aspx?Id=12173&amp;Mode=0" TargetMode="External"/><Relationship Id="rId41" Type="http://schemas.openxmlformats.org/officeDocument/2006/relationships/hyperlink" Target="https://www.rbi.org.in/Scripts/NotificationUser.aspx?Id=12165&amp;Mode=0" TargetMode="External"/><Relationship Id="rId54" Type="http://schemas.openxmlformats.org/officeDocument/2006/relationships/hyperlink" Target="https://www.rbi.org.in/Scripts/BS_ViewMasCirculardetails.aspx?id=990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bi.org.in/Scripts/BS_ViewMasDirections.aspx?id=12131" TargetMode="External"/><Relationship Id="rId11" Type="http://schemas.openxmlformats.org/officeDocument/2006/relationships/hyperlink" Target="https://www.rbi.org.in/Scripts/NotificationUser.aspx?Id=12205&amp;Mode=0" TargetMode="External"/><Relationship Id="rId24" Type="http://schemas.openxmlformats.org/officeDocument/2006/relationships/hyperlink" Target="https://www.rbi.org.in/Scripts/BS_ViewMasCirculardetails.aspx?id=9859" TargetMode="External"/><Relationship Id="rId32" Type="http://schemas.openxmlformats.org/officeDocument/2006/relationships/hyperlink" Target="https://www.rbi.org.in/Scripts/BS_ViewMasCirculardetails.aspx?id=9908" TargetMode="External"/><Relationship Id="rId37" Type="http://schemas.openxmlformats.org/officeDocument/2006/relationships/hyperlink" Target="https://www.rbi.org.in/Scripts/NotificationUser.aspx?Id=12166&amp;Mode=0" TargetMode="External"/><Relationship Id="rId40" Type="http://schemas.openxmlformats.org/officeDocument/2006/relationships/hyperlink" Target="https://www.rbi.org.in/Scripts/NotificationUser.aspx?Id=12165&amp;Mode=0" TargetMode="External"/><Relationship Id="rId45" Type="http://schemas.openxmlformats.org/officeDocument/2006/relationships/hyperlink" Target="https://www.rbi.org.in/Scripts/NotificationUser.aspx?Id=12157&amp;Mode=0" TargetMode="External"/><Relationship Id="rId53" Type="http://schemas.openxmlformats.org/officeDocument/2006/relationships/hyperlink" Target="https://www.rbi.org.in/Scripts/NotificationUser.aspx?Id=12140&amp;Mode=0" TargetMode="External"/><Relationship Id="rId58" Type="http://schemas.openxmlformats.org/officeDocument/2006/relationships/hyperlink" Target="https://www.rbi.org.in/Scripts/BS_ViewMasDirections.aspx?id=10394" TargetMode="External"/><Relationship Id="rId5" Type="http://schemas.openxmlformats.org/officeDocument/2006/relationships/hyperlink" Target="https://www.rbi.org.in/Scripts/NotificationUser.aspx?Id=12142&amp;Mode=0" TargetMode="External"/><Relationship Id="rId15" Type="http://schemas.openxmlformats.org/officeDocument/2006/relationships/hyperlink" Target="https://www.rbi.org.in/Scripts/NotificationUser.aspx?Id=12194&amp;Mode=0" TargetMode="External"/><Relationship Id="rId23" Type="http://schemas.openxmlformats.org/officeDocument/2006/relationships/hyperlink" Target="https://www.rbi.org.in/Scripts/NotificationUser.aspx?Id=12175&amp;Mode=0" TargetMode="External"/><Relationship Id="rId28" Type="http://schemas.openxmlformats.org/officeDocument/2006/relationships/hyperlink" Target="https://www.rbi.org.in/Scripts/NotificationUser.aspx?Id=12173&amp;Mode=0" TargetMode="External"/><Relationship Id="rId36" Type="http://schemas.openxmlformats.org/officeDocument/2006/relationships/hyperlink" Target="https://www.rbi.org.in/Scripts/BS_PressReleaseDisplay.aspx?prid=49920" TargetMode="External"/><Relationship Id="rId49" Type="http://schemas.openxmlformats.org/officeDocument/2006/relationships/hyperlink" Target="https://rbi.org.in/Scripts/BS_ViewMasDirections.aspx?id=12030" TargetMode="External"/><Relationship Id="rId57" Type="http://schemas.openxmlformats.org/officeDocument/2006/relationships/hyperlink" Target="https://www.rbi.org.in/Scripts/BS_ViewMasDirections.aspx?id=10296" TargetMode="External"/><Relationship Id="rId61" Type="http://schemas.openxmlformats.org/officeDocument/2006/relationships/fontTable" Target="fontTable.xml"/><Relationship Id="rId10" Type="http://schemas.openxmlformats.org/officeDocument/2006/relationships/hyperlink" Target="https://www.rbi.org.in/Scripts/BS_PressReleaseDisplay.aspx?prid=52688" TargetMode="External"/><Relationship Id="rId19" Type="http://schemas.openxmlformats.org/officeDocument/2006/relationships/hyperlink" Target="https://www.rbi.org.in/Scripts/NotificationUser.aspx?Id=12185&amp;Mode=0" TargetMode="External"/><Relationship Id="rId31" Type="http://schemas.openxmlformats.org/officeDocument/2006/relationships/hyperlink" Target="https://www.rbi.org.in/Scripts/NotificationUser.aspx?Id=12173&amp;Mode=0" TargetMode="External"/><Relationship Id="rId44" Type="http://schemas.openxmlformats.org/officeDocument/2006/relationships/hyperlink" Target="https://rbi.org.in/Scripts/NotificationUser.aspx?Id=11720&amp;Mode=0" TargetMode="External"/><Relationship Id="rId52" Type="http://schemas.openxmlformats.org/officeDocument/2006/relationships/hyperlink" Target="https://www.rbi.org.in/Scripts/NotificationUser.aspx?Id=11941&amp;Mode=0" TargetMode="External"/><Relationship Id="rId60" Type="http://schemas.openxmlformats.org/officeDocument/2006/relationships/hyperlink" Target="https://www.rbi.org.in/Scripts/NotificationUser.aspx?Id=12125&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207&amp;Mode=0" TargetMode="External"/><Relationship Id="rId14" Type="http://schemas.openxmlformats.org/officeDocument/2006/relationships/hyperlink" Target="https://www.rbi.org.in/Scripts/BS_ViewMasCirculardetails.aspx?id=12171" TargetMode="External"/><Relationship Id="rId22" Type="http://schemas.openxmlformats.org/officeDocument/2006/relationships/hyperlink" Target="https://www.rbi.org.in/scripts/NotificationUser.aspx?Mode=0&amp;Id=11417" TargetMode="External"/><Relationship Id="rId27" Type="http://schemas.openxmlformats.org/officeDocument/2006/relationships/hyperlink" Target="https://www.rbi.org.in/Scripts/BS_ViewMasCirculardetails.aspx?id=9859" TargetMode="External"/><Relationship Id="rId30" Type="http://schemas.openxmlformats.org/officeDocument/2006/relationships/hyperlink" Target="https://rbi.org.in/Scripts/BS_ViewMasCirculardetails.aspx?id=9859" TargetMode="External"/><Relationship Id="rId35" Type="http://schemas.openxmlformats.org/officeDocument/2006/relationships/hyperlink" Target="https://www.rbi.org.in/Scripts/NotificationUser.aspx?Id=12171&amp;Mode=0" TargetMode="External"/><Relationship Id="rId43" Type="http://schemas.openxmlformats.org/officeDocument/2006/relationships/hyperlink" Target="https://www.rbi.org.in/Scripts/NotificationUser.aspx?Id=12158&amp;Mode=0" TargetMode="External"/><Relationship Id="rId48" Type="http://schemas.openxmlformats.org/officeDocument/2006/relationships/hyperlink" Target="https://rbi.org.in/Scripts/BS_ViewMasDirections.aspx?id=12030" TargetMode="External"/><Relationship Id="rId56" Type="http://schemas.openxmlformats.org/officeDocument/2006/relationships/hyperlink" Target="https://www.rbi.org.in/Scripts/NotificationUser.aspx?Id=12131&amp;Mode=0" TargetMode="External"/><Relationship Id="rId8" Type="http://schemas.openxmlformats.org/officeDocument/2006/relationships/hyperlink" Target="https://www.rbi.org.in/Scripts/BS_PressReleaseDisplay.aspx?prid=52686" TargetMode="External"/><Relationship Id="rId51" Type="http://schemas.openxmlformats.org/officeDocument/2006/relationships/hyperlink" Target="https://rbi.org.in/Scripts/NotificationUser.aspx?Id=11961&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12205&amp;Mode=0" TargetMode="External"/><Relationship Id="rId17" Type="http://schemas.openxmlformats.org/officeDocument/2006/relationships/hyperlink" Target="https://www.rbi.org.in/Scripts/NotificationUser.aspx?Id=12185&amp;Mode=0" TargetMode="External"/><Relationship Id="rId25" Type="http://schemas.openxmlformats.org/officeDocument/2006/relationships/hyperlink" Target="https://www.rbi.org.in/Scripts/NotificationUser.aspx?Id=10676&amp;Mode=0" TargetMode="External"/><Relationship Id="rId33" Type="http://schemas.openxmlformats.org/officeDocument/2006/relationships/hyperlink" Target="https://www.rbi.org.in/Scripts/NotificationUser.aspx?Id=12171&amp;Mode=0" TargetMode="External"/><Relationship Id="rId38" Type="http://schemas.openxmlformats.org/officeDocument/2006/relationships/hyperlink" Target="https://www.rbi.org.in/Scripts/NotificationUser.aspx?Id=12166&amp;Mode=0" TargetMode="External"/><Relationship Id="rId46" Type="http://schemas.openxmlformats.org/officeDocument/2006/relationships/hyperlink" Target="https://www.rbi.org.in/Scripts/NotificationUser.aspx?Id=12153&amp;Mode=0" TargetMode="External"/><Relationship Id="rId59" Type="http://schemas.openxmlformats.org/officeDocument/2006/relationships/hyperlink" Target="https://www.rbi.org.in/Scripts/NotificationUser.aspx?Id=12125&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5260</Words>
  <Characters>29988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2022-02-02T09:01:00Z</dcterms:created>
  <dcterms:modified xsi:type="dcterms:W3CDTF">2022-02-08T10:00:00Z</dcterms:modified>
</cp:coreProperties>
</file>